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A4A" w:rsidRPr="00490C92" w:rsidRDefault="00890A4A" w:rsidP="00ED226B">
      <w:pPr>
        <w:jc w:val="center"/>
        <w:rPr>
          <w:rFonts w:ascii="Arial" w:hAnsi="Arial" w:cs="Arial"/>
          <w:b/>
          <w:caps/>
          <w:u w:val="single"/>
        </w:rPr>
      </w:pPr>
    </w:p>
    <w:p w:rsidR="00890A4A" w:rsidRDefault="00890A4A" w:rsidP="00890A4A">
      <w:pPr>
        <w:jc w:val="center"/>
        <w:rPr>
          <w:rFonts w:ascii="Arial" w:hAnsi="Arial" w:cs="Arial"/>
          <w:b/>
          <w:caps/>
          <w:u w:val="single"/>
        </w:rPr>
      </w:pPr>
    </w:p>
    <w:p w:rsidR="00825C9D" w:rsidRPr="00490C92" w:rsidRDefault="00825C9D" w:rsidP="00890A4A">
      <w:pPr>
        <w:jc w:val="center"/>
        <w:rPr>
          <w:rFonts w:ascii="Arial" w:hAnsi="Arial" w:cs="Arial"/>
          <w:b/>
          <w:caps/>
          <w:u w:val="single"/>
        </w:rPr>
      </w:pPr>
    </w:p>
    <w:p w:rsidR="00890A4A" w:rsidRPr="00490C92" w:rsidRDefault="00890A4A" w:rsidP="00890A4A">
      <w:pPr>
        <w:jc w:val="center"/>
        <w:rPr>
          <w:rFonts w:ascii="Arial" w:hAnsi="Arial" w:cs="Arial"/>
          <w:b/>
          <w:caps/>
          <w:u w:val="single"/>
        </w:rPr>
      </w:pPr>
    </w:p>
    <w:p w:rsidR="00890A4A" w:rsidRPr="00490C92" w:rsidRDefault="00890A4A" w:rsidP="00890A4A">
      <w:pPr>
        <w:jc w:val="center"/>
        <w:rPr>
          <w:rFonts w:ascii="Arial" w:hAnsi="Arial" w:cs="Arial"/>
          <w:b/>
          <w:caps/>
          <w:u w:val="single"/>
        </w:rPr>
      </w:pPr>
    </w:p>
    <w:p w:rsidR="00890A4A" w:rsidRPr="00490C92" w:rsidRDefault="00890A4A" w:rsidP="00890A4A">
      <w:pPr>
        <w:jc w:val="center"/>
        <w:rPr>
          <w:rFonts w:ascii="Arial" w:hAnsi="Arial" w:cs="Arial"/>
          <w:b/>
          <w:sz w:val="28"/>
        </w:rPr>
      </w:pPr>
      <w:r w:rsidRPr="00490C92">
        <w:rPr>
          <w:rFonts w:ascii="Arial" w:hAnsi="Arial" w:cs="Arial"/>
          <w:b/>
          <w:sz w:val="28"/>
        </w:rPr>
        <w:t>20</w:t>
      </w:r>
      <w:r w:rsidR="002037F4">
        <w:rPr>
          <w:rFonts w:ascii="Arial" w:hAnsi="Arial" w:cs="Arial"/>
          <w:b/>
          <w:sz w:val="28"/>
        </w:rPr>
        <w:t>12 – 2015</w:t>
      </w:r>
      <w:r w:rsidRPr="00490C92">
        <w:rPr>
          <w:rFonts w:ascii="Arial" w:hAnsi="Arial" w:cs="Arial"/>
          <w:b/>
          <w:sz w:val="28"/>
        </w:rPr>
        <w:t xml:space="preserve"> Triennium Work Report</w:t>
      </w:r>
    </w:p>
    <w:p w:rsidR="00890A4A" w:rsidRPr="00490C92" w:rsidRDefault="00890A4A" w:rsidP="00890A4A">
      <w:pPr>
        <w:jc w:val="center"/>
        <w:rPr>
          <w:rFonts w:ascii="Arial" w:hAnsi="Arial" w:cs="Arial"/>
          <w:b/>
        </w:rPr>
      </w:pPr>
      <w:r w:rsidRPr="00490C92">
        <w:rPr>
          <w:rFonts w:ascii="Arial" w:hAnsi="Arial" w:cs="Arial"/>
          <w:b/>
        </w:rPr>
        <w:t>June 201</w:t>
      </w:r>
      <w:r w:rsidR="002037F4">
        <w:rPr>
          <w:rFonts w:ascii="Arial" w:hAnsi="Arial" w:cs="Arial"/>
          <w:b/>
        </w:rPr>
        <w:t>5</w:t>
      </w:r>
    </w:p>
    <w:p w:rsidR="00890A4A" w:rsidRPr="00490C92" w:rsidRDefault="00890A4A" w:rsidP="00890A4A">
      <w:pPr>
        <w:jc w:val="center"/>
        <w:rPr>
          <w:rFonts w:ascii="Arial" w:hAnsi="Arial" w:cs="Arial"/>
          <w:b/>
        </w:rPr>
      </w:pPr>
    </w:p>
    <w:p w:rsidR="00890A4A" w:rsidRPr="00490C92" w:rsidRDefault="00890A4A" w:rsidP="00890A4A">
      <w:pPr>
        <w:jc w:val="center"/>
        <w:rPr>
          <w:rFonts w:ascii="Arial" w:hAnsi="Arial" w:cs="Arial"/>
          <w:b/>
        </w:rPr>
      </w:pPr>
    </w:p>
    <w:p w:rsidR="00890A4A" w:rsidRDefault="00825C9D" w:rsidP="00825C9D">
      <w:pPr>
        <w:jc w:val="center"/>
        <w:rPr>
          <w:rFonts w:ascii="Arial" w:hAnsi="Arial" w:cs="Arial"/>
          <w:b/>
          <w:caps/>
          <w:sz w:val="28"/>
        </w:rPr>
      </w:pPr>
      <w:r w:rsidRPr="00825C9D">
        <w:rPr>
          <w:rFonts w:ascii="Arial" w:hAnsi="Arial" w:cs="Arial"/>
          <w:b/>
          <w:caps/>
          <w:sz w:val="28"/>
        </w:rPr>
        <w:t>Programme Committee D3</w:t>
      </w:r>
      <w:r w:rsidR="00890A4A" w:rsidRPr="00490C92">
        <w:rPr>
          <w:rFonts w:ascii="Arial" w:hAnsi="Arial" w:cs="Arial"/>
          <w:b/>
          <w:caps/>
          <w:sz w:val="28"/>
        </w:rPr>
        <w:t xml:space="preserve">: </w:t>
      </w:r>
      <w:r w:rsidR="00D32FBD">
        <w:rPr>
          <w:rFonts w:ascii="Arial" w:hAnsi="Arial" w:cs="Arial"/>
          <w:b/>
          <w:caps/>
          <w:sz w:val="28"/>
        </w:rPr>
        <w:t>SMALL SCALE LNG</w:t>
      </w:r>
    </w:p>
    <w:p w:rsidR="00CE03D8" w:rsidRDefault="00CE03D8" w:rsidP="00825C9D">
      <w:pPr>
        <w:jc w:val="center"/>
        <w:rPr>
          <w:rFonts w:ascii="Arial" w:hAnsi="Arial" w:cs="Arial"/>
          <w:b/>
          <w:caps/>
          <w:sz w:val="28"/>
        </w:rPr>
      </w:pPr>
    </w:p>
    <w:p w:rsidR="00CE03D8" w:rsidRDefault="00CE03D8" w:rsidP="00825C9D">
      <w:pPr>
        <w:jc w:val="center"/>
        <w:rPr>
          <w:rFonts w:ascii="Arial" w:hAnsi="Arial" w:cs="Arial"/>
          <w:b/>
          <w:caps/>
          <w:sz w:val="28"/>
        </w:rPr>
      </w:pPr>
      <w:r>
        <w:rPr>
          <w:rFonts w:ascii="Arial" w:hAnsi="Arial" w:cs="Arial"/>
          <w:b/>
          <w:caps/>
          <w:sz w:val="28"/>
        </w:rPr>
        <w:t>REGIONAL TEMPLATE</w:t>
      </w:r>
    </w:p>
    <w:p w:rsidR="00CE03D8" w:rsidRPr="00490C92" w:rsidRDefault="00CE03D8" w:rsidP="00825C9D">
      <w:pPr>
        <w:jc w:val="center"/>
        <w:rPr>
          <w:rFonts w:ascii="Arial" w:hAnsi="Arial" w:cs="Arial"/>
          <w:b/>
          <w:caps/>
          <w:sz w:val="28"/>
        </w:rPr>
      </w:pPr>
      <w:r>
        <w:rPr>
          <w:rFonts w:ascii="Arial" w:hAnsi="Arial" w:cs="Arial"/>
          <w:b/>
          <w:caps/>
          <w:sz w:val="28"/>
        </w:rPr>
        <w:t xml:space="preserve">REGioN: </w:t>
      </w:r>
      <w:r w:rsidR="003E078C">
        <w:rPr>
          <w:rFonts w:ascii="Arial" w:hAnsi="Arial" w:cs="Arial"/>
          <w:b/>
          <w:caps/>
          <w:sz w:val="28"/>
        </w:rPr>
        <w:t>Asia Pacific and Middle East</w:t>
      </w:r>
    </w:p>
    <w:p w:rsidR="00890A4A" w:rsidRPr="00490C92" w:rsidRDefault="00890A4A">
      <w:pPr>
        <w:rPr>
          <w:rFonts w:ascii="Arial" w:hAnsi="Arial" w:cs="Arial"/>
          <w:b/>
        </w:rPr>
      </w:pPr>
      <w:r w:rsidRPr="00490C92">
        <w:rPr>
          <w:rFonts w:ascii="Arial" w:hAnsi="Arial" w:cs="Arial"/>
          <w:b/>
        </w:rPr>
        <w:br w:type="page"/>
      </w:r>
    </w:p>
    <w:bookmarkStart w:id="0" w:name="_Toc315967115" w:displacedByCustomXml="next"/>
    <w:sdt>
      <w:sdtPr>
        <w:rPr>
          <w:rFonts w:eastAsiaTheme="minorHAnsi" w:cstheme="minorBidi"/>
          <w:b w:val="0"/>
          <w:bCs w:val="0"/>
          <w:sz w:val="22"/>
          <w:szCs w:val="22"/>
          <w:lang w:val="en-GB"/>
        </w:rPr>
        <w:id w:val="17458915"/>
        <w:docPartObj>
          <w:docPartGallery w:val="Table of Contents"/>
          <w:docPartUnique/>
        </w:docPartObj>
      </w:sdtPr>
      <w:sdtContent>
        <w:p w:rsidR="00145CDC" w:rsidRDefault="00145CDC" w:rsidP="0066396C">
          <w:pPr>
            <w:pStyle w:val="TOCHeading"/>
            <w:pageBreakBefore/>
            <w:spacing w:before="120"/>
            <w:ind w:left="737"/>
          </w:pPr>
          <w:r>
            <w:t>Table of Contents</w:t>
          </w:r>
        </w:p>
        <w:p w:rsidR="00486809" w:rsidRDefault="009000FB">
          <w:pPr>
            <w:pStyle w:val="TOC1"/>
            <w:tabs>
              <w:tab w:val="right" w:leader="dot" w:pos="9060"/>
            </w:tabs>
            <w:rPr>
              <w:rFonts w:asciiTheme="minorHAnsi" w:hAnsiTheme="minorHAnsi"/>
              <w:noProof/>
            </w:rPr>
          </w:pPr>
          <w:r w:rsidRPr="009000FB">
            <w:fldChar w:fldCharType="begin"/>
          </w:r>
          <w:r w:rsidR="00145CDC">
            <w:instrText xml:space="preserve"> TOC \o "1-3" \h \z \u </w:instrText>
          </w:r>
          <w:r w:rsidRPr="009000FB">
            <w:fldChar w:fldCharType="separate"/>
          </w:r>
          <w:hyperlink w:anchor="_Toc369857018" w:history="1">
            <w:r w:rsidR="00486809" w:rsidRPr="007E587A">
              <w:rPr>
                <w:rStyle w:val="Hyperlink"/>
                <w:noProof/>
              </w:rPr>
              <w:t>General (and short) overview about LNG industry in the region</w:t>
            </w:r>
            <w:r w:rsidR="00486809">
              <w:rPr>
                <w:noProof/>
                <w:webHidden/>
              </w:rPr>
              <w:tab/>
            </w:r>
            <w:r>
              <w:rPr>
                <w:noProof/>
                <w:webHidden/>
              </w:rPr>
              <w:fldChar w:fldCharType="begin"/>
            </w:r>
            <w:r w:rsidR="00486809">
              <w:rPr>
                <w:noProof/>
                <w:webHidden/>
              </w:rPr>
              <w:instrText xml:space="preserve"> PAGEREF _Toc369857018 \h </w:instrText>
            </w:r>
            <w:r>
              <w:rPr>
                <w:noProof/>
                <w:webHidden/>
              </w:rPr>
            </w:r>
            <w:r>
              <w:rPr>
                <w:noProof/>
                <w:webHidden/>
              </w:rPr>
              <w:fldChar w:fldCharType="separate"/>
            </w:r>
            <w:r w:rsidR="00486809">
              <w:rPr>
                <w:noProof/>
                <w:webHidden/>
              </w:rPr>
              <w:t>2</w:t>
            </w:r>
            <w:r>
              <w:rPr>
                <w:noProof/>
                <w:webHidden/>
              </w:rPr>
              <w:fldChar w:fldCharType="end"/>
            </w:r>
          </w:hyperlink>
        </w:p>
        <w:p w:rsidR="00486809" w:rsidRDefault="009000FB">
          <w:pPr>
            <w:pStyle w:val="TOC1"/>
            <w:tabs>
              <w:tab w:val="right" w:leader="dot" w:pos="9060"/>
            </w:tabs>
            <w:rPr>
              <w:rFonts w:asciiTheme="minorHAnsi" w:hAnsiTheme="minorHAnsi"/>
              <w:noProof/>
            </w:rPr>
          </w:pPr>
          <w:hyperlink w:anchor="_Toc369857019" w:history="1">
            <w:r w:rsidR="00486809" w:rsidRPr="007E587A">
              <w:rPr>
                <w:rStyle w:val="Hyperlink"/>
                <w:noProof/>
              </w:rPr>
              <w:t>Analysis of regional data based on report structure</w:t>
            </w:r>
            <w:r w:rsidR="00486809">
              <w:rPr>
                <w:noProof/>
                <w:webHidden/>
              </w:rPr>
              <w:tab/>
            </w:r>
            <w:r>
              <w:rPr>
                <w:noProof/>
                <w:webHidden/>
              </w:rPr>
              <w:fldChar w:fldCharType="begin"/>
            </w:r>
            <w:r w:rsidR="00486809">
              <w:rPr>
                <w:noProof/>
                <w:webHidden/>
              </w:rPr>
              <w:instrText xml:space="preserve"> PAGEREF _Toc369857019 \h </w:instrText>
            </w:r>
            <w:r>
              <w:rPr>
                <w:noProof/>
                <w:webHidden/>
              </w:rPr>
            </w:r>
            <w:r>
              <w:rPr>
                <w:noProof/>
                <w:webHidden/>
              </w:rPr>
              <w:fldChar w:fldCharType="separate"/>
            </w:r>
            <w:r w:rsidR="00486809">
              <w:rPr>
                <w:noProof/>
                <w:webHidden/>
              </w:rPr>
              <w:t>2</w:t>
            </w:r>
            <w:r>
              <w:rPr>
                <w:noProof/>
                <w:webHidden/>
              </w:rPr>
              <w:fldChar w:fldCharType="end"/>
            </w:r>
          </w:hyperlink>
        </w:p>
        <w:p w:rsidR="00486809" w:rsidRDefault="009000FB">
          <w:pPr>
            <w:pStyle w:val="TOC2"/>
            <w:tabs>
              <w:tab w:val="right" w:leader="dot" w:pos="9060"/>
            </w:tabs>
            <w:rPr>
              <w:rFonts w:asciiTheme="minorHAnsi" w:hAnsiTheme="minorHAnsi"/>
              <w:noProof/>
            </w:rPr>
          </w:pPr>
          <w:hyperlink w:anchor="_Toc369857020" w:history="1">
            <w:r w:rsidR="00486809" w:rsidRPr="007E587A">
              <w:rPr>
                <w:rStyle w:val="Hyperlink"/>
                <w:noProof/>
              </w:rPr>
              <w:t>Consumption driven:</w:t>
            </w:r>
            <w:r w:rsidR="00486809">
              <w:rPr>
                <w:noProof/>
                <w:webHidden/>
              </w:rPr>
              <w:tab/>
            </w:r>
            <w:r>
              <w:rPr>
                <w:noProof/>
                <w:webHidden/>
              </w:rPr>
              <w:fldChar w:fldCharType="begin"/>
            </w:r>
            <w:r w:rsidR="00486809">
              <w:rPr>
                <w:noProof/>
                <w:webHidden/>
              </w:rPr>
              <w:instrText xml:space="preserve"> PAGEREF _Toc369857020 \h </w:instrText>
            </w:r>
            <w:r>
              <w:rPr>
                <w:noProof/>
                <w:webHidden/>
              </w:rPr>
            </w:r>
            <w:r>
              <w:rPr>
                <w:noProof/>
                <w:webHidden/>
              </w:rPr>
              <w:fldChar w:fldCharType="separate"/>
            </w:r>
            <w:r w:rsidR="00486809">
              <w:rPr>
                <w:noProof/>
                <w:webHidden/>
              </w:rPr>
              <w:t>2</w:t>
            </w:r>
            <w:r>
              <w:rPr>
                <w:noProof/>
                <w:webHidden/>
              </w:rPr>
              <w:fldChar w:fldCharType="end"/>
            </w:r>
          </w:hyperlink>
        </w:p>
        <w:p w:rsidR="00486809" w:rsidRDefault="009000FB">
          <w:pPr>
            <w:pStyle w:val="TOC1"/>
            <w:tabs>
              <w:tab w:val="right" w:leader="dot" w:pos="9060"/>
            </w:tabs>
            <w:rPr>
              <w:rFonts w:asciiTheme="minorHAnsi" w:hAnsiTheme="minorHAnsi"/>
              <w:noProof/>
            </w:rPr>
          </w:pPr>
          <w:hyperlink w:anchor="_Toc369857021" w:history="1">
            <w:r w:rsidR="00486809" w:rsidRPr="007E587A">
              <w:rPr>
                <w:rStyle w:val="Hyperlink"/>
                <w:noProof/>
              </w:rPr>
              <w:t>Safety, standards and regulations</w:t>
            </w:r>
            <w:r w:rsidR="00486809">
              <w:rPr>
                <w:noProof/>
                <w:webHidden/>
              </w:rPr>
              <w:tab/>
            </w:r>
            <w:r>
              <w:rPr>
                <w:noProof/>
                <w:webHidden/>
              </w:rPr>
              <w:fldChar w:fldCharType="begin"/>
            </w:r>
            <w:r w:rsidR="00486809">
              <w:rPr>
                <w:noProof/>
                <w:webHidden/>
              </w:rPr>
              <w:instrText xml:space="preserve"> PAGEREF _Toc369857021 \h </w:instrText>
            </w:r>
            <w:r>
              <w:rPr>
                <w:noProof/>
                <w:webHidden/>
              </w:rPr>
            </w:r>
            <w:r>
              <w:rPr>
                <w:noProof/>
                <w:webHidden/>
              </w:rPr>
              <w:fldChar w:fldCharType="separate"/>
            </w:r>
            <w:r w:rsidR="00486809">
              <w:rPr>
                <w:noProof/>
                <w:webHidden/>
              </w:rPr>
              <w:t>3</w:t>
            </w:r>
            <w:r>
              <w:rPr>
                <w:noProof/>
                <w:webHidden/>
              </w:rPr>
              <w:fldChar w:fldCharType="end"/>
            </w:r>
          </w:hyperlink>
        </w:p>
        <w:p w:rsidR="00486809" w:rsidRDefault="009000FB">
          <w:pPr>
            <w:pStyle w:val="TOC1"/>
            <w:tabs>
              <w:tab w:val="left" w:pos="1320"/>
              <w:tab w:val="right" w:leader="dot" w:pos="9060"/>
            </w:tabs>
            <w:rPr>
              <w:rFonts w:asciiTheme="minorHAnsi" w:hAnsiTheme="minorHAnsi"/>
              <w:noProof/>
            </w:rPr>
          </w:pPr>
          <w:hyperlink w:anchor="_Toc369857022" w:history="1">
            <w:r w:rsidR="00486809" w:rsidRPr="007E587A">
              <w:rPr>
                <w:rStyle w:val="Hyperlink"/>
                <w:noProof/>
              </w:rPr>
              <w:t>Appendix 1.</w:t>
            </w:r>
            <w:r w:rsidR="00486809">
              <w:rPr>
                <w:rFonts w:asciiTheme="minorHAnsi" w:hAnsiTheme="minorHAnsi"/>
                <w:noProof/>
              </w:rPr>
              <w:tab/>
            </w:r>
            <w:r w:rsidR="00486809" w:rsidRPr="007E587A">
              <w:rPr>
                <w:rStyle w:val="Hyperlink"/>
                <w:noProof/>
              </w:rPr>
              <w:t>Data Collection from the Regions</w:t>
            </w:r>
            <w:r w:rsidR="00486809">
              <w:rPr>
                <w:noProof/>
                <w:webHidden/>
              </w:rPr>
              <w:tab/>
            </w:r>
            <w:r>
              <w:rPr>
                <w:noProof/>
                <w:webHidden/>
              </w:rPr>
              <w:fldChar w:fldCharType="begin"/>
            </w:r>
            <w:r w:rsidR="00486809">
              <w:rPr>
                <w:noProof/>
                <w:webHidden/>
              </w:rPr>
              <w:instrText xml:space="preserve"> PAGEREF _Toc369857022 \h </w:instrText>
            </w:r>
            <w:r>
              <w:rPr>
                <w:noProof/>
                <w:webHidden/>
              </w:rPr>
            </w:r>
            <w:r>
              <w:rPr>
                <w:noProof/>
                <w:webHidden/>
              </w:rPr>
              <w:fldChar w:fldCharType="separate"/>
            </w:r>
            <w:r w:rsidR="00486809">
              <w:rPr>
                <w:noProof/>
                <w:webHidden/>
              </w:rPr>
              <w:t>4</w:t>
            </w:r>
            <w:r>
              <w:rPr>
                <w:noProof/>
                <w:webHidden/>
              </w:rPr>
              <w:fldChar w:fldCharType="end"/>
            </w:r>
          </w:hyperlink>
        </w:p>
        <w:p w:rsidR="00486809" w:rsidRDefault="009000FB">
          <w:pPr>
            <w:pStyle w:val="TOC1"/>
            <w:tabs>
              <w:tab w:val="left" w:pos="1320"/>
              <w:tab w:val="right" w:leader="dot" w:pos="9060"/>
            </w:tabs>
            <w:rPr>
              <w:rFonts w:asciiTheme="minorHAnsi" w:hAnsiTheme="minorHAnsi"/>
              <w:noProof/>
            </w:rPr>
          </w:pPr>
          <w:hyperlink w:anchor="_Toc369857023" w:history="1">
            <w:r w:rsidR="00486809" w:rsidRPr="007E587A">
              <w:rPr>
                <w:rStyle w:val="Hyperlink"/>
                <w:noProof/>
              </w:rPr>
              <w:t>Appendix 2.</w:t>
            </w:r>
            <w:r w:rsidR="00486809">
              <w:rPr>
                <w:rFonts w:asciiTheme="minorHAnsi" w:hAnsiTheme="minorHAnsi"/>
                <w:noProof/>
              </w:rPr>
              <w:tab/>
            </w:r>
            <w:r w:rsidR="00486809" w:rsidRPr="007E587A">
              <w:rPr>
                <w:rStyle w:val="Hyperlink"/>
                <w:noProof/>
              </w:rPr>
              <w:t>Small Scale LNG : Drivers and Business Models</w:t>
            </w:r>
            <w:r w:rsidR="00486809">
              <w:rPr>
                <w:noProof/>
                <w:webHidden/>
              </w:rPr>
              <w:tab/>
            </w:r>
            <w:r>
              <w:rPr>
                <w:noProof/>
                <w:webHidden/>
              </w:rPr>
              <w:fldChar w:fldCharType="begin"/>
            </w:r>
            <w:r w:rsidR="00486809">
              <w:rPr>
                <w:noProof/>
                <w:webHidden/>
              </w:rPr>
              <w:instrText xml:space="preserve"> PAGEREF _Toc369857023 \h </w:instrText>
            </w:r>
            <w:r>
              <w:rPr>
                <w:noProof/>
                <w:webHidden/>
              </w:rPr>
            </w:r>
            <w:r>
              <w:rPr>
                <w:noProof/>
                <w:webHidden/>
              </w:rPr>
              <w:fldChar w:fldCharType="separate"/>
            </w:r>
            <w:r w:rsidR="00486809">
              <w:rPr>
                <w:noProof/>
                <w:webHidden/>
              </w:rPr>
              <w:t>5</w:t>
            </w:r>
            <w:r>
              <w:rPr>
                <w:noProof/>
                <w:webHidden/>
              </w:rPr>
              <w:fldChar w:fldCharType="end"/>
            </w:r>
          </w:hyperlink>
        </w:p>
        <w:p w:rsidR="00145CDC" w:rsidRDefault="009000FB">
          <w:r>
            <w:fldChar w:fldCharType="end"/>
          </w:r>
        </w:p>
      </w:sdtContent>
    </w:sdt>
    <w:p w:rsidR="00FE548D" w:rsidRPr="007F38D8" w:rsidRDefault="00FE548D" w:rsidP="00FE548D">
      <w:pPr>
        <w:pStyle w:val="Heading1"/>
        <w:rPr>
          <w:lang w:val="en-US"/>
        </w:rPr>
      </w:pPr>
      <w:bookmarkStart w:id="1" w:name="_Toc369857018"/>
      <w:bookmarkEnd w:id="0"/>
      <w:r w:rsidRPr="007F38D8">
        <w:rPr>
          <w:lang w:val="en-US"/>
        </w:rPr>
        <w:t>General (and short) overview about LNG industry in the region</w:t>
      </w:r>
      <w:bookmarkEnd w:id="1"/>
    </w:p>
    <w:p w:rsidR="00FE548D" w:rsidRDefault="00FE548D" w:rsidP="00FE548D">
      <w:pPr>
        <w:pStyle w:val="ListParagraph"/>
        <w:rPr>
          <w:i/>
          <w:lang w:val="en-US"/>
        </w:rPr>
      </w:pPr>
    </w:p>
    <w:p w:rsidR="00FE548D" w:rsidRDefault="00FE548D" w:rsidP="000356E3">
      <w:pPr>
        <w:rPr>
          <w:i/>
          <w:lang w:val="en-US"/>
        </w:rPr>
      </w:pPr>
      <w:r w:rsidRPr="000356E3">
        <w:rPr>
          <w:i/>
          <w:lang w:val="en-US"/>
        </w:rPr>
        <w:t xml:space="preserve">Provide </w:t>
      </w:r>
      <w:r w:rsidR="000356E3">
        <w:rPr>
          <w:i/>
          <w:lang w:val="en-US"/>
        </w:rPr>
        <w:t xml:space="preserve">description of the regional area and </w:t>
      </w:r>
      <w:r w:rsidRPr="000356E3">
        <w:rPr>
          <w:i/>
          <w:lang w:val="en-US"/>
        </w:rPr>
        <w:t>background of the degree of penetration of the LNG as industry</w:t>
      </w:r>
    </w:p>
    <w:p w:rsidR="003E078C" w:rsidRDefault="003E078C" w:rsidP="000356E3">
      <w:pPr>
        <w:rPr>
          <w:lang w:val="en-US"/>
        </w:rPr>
      </w:pPr>
      <w:r w:rsidRPr="003E078C">
        <w:rPr>
          <w:lang w:val="en-US"/>
        </w:rPr>
        <w:t>In the area Asia Pacific the by far most developed and dynamic</w:t>
      </w:r>
      <w:r>
        <w:rPr>
          <w:lang w:val="en-US"/>
        </w:rPr>
        <w:t xml:space="preserve"> small scale LNG industry is in China. </w:t>
      </w:r>
      <w:r w:rsidR="00DF7F0B">
        <w:rPr>
          <w:lang w:val="en-US"/>
        </w:rPr>
        <w:t>Japan runs some small scale distribution projects from their numerous large scale LNG receiving terminals</w:t>
      </w:r>
      <w:r w:rsidR="000679CA">
        <w:rPr>
          <w:lang w:val="en-US"/>
        </w:rPr>
        <w:t xml:space="preserve"> </w:t>
      </w:r>
      <w:r w:rsidR="00322BD1">
        <w:rPr>
          <w:lang w:val="en-US"/>
        </w:rPr>
        <w:t xml:space="preserve">mainly </w:t>
      </w:r>
      <w:r w:rsidR="000679CA">
        <w:rPr>
          <w:lang w:val="en-US"/>
        </w:rPr>
        <w:t xml:space="preserve">utilizing </w:t>
      </w:r>
      <w:r w:rsidR="008E132C">
        <w:rPr>
          <w:lang w:val="en-US"/>
        </w:rPr>
        <w:t xml:space="preserve">dedicated </w:t>
      </w:r>
      <w:r w:rsidR="000679CA">
        <w:rPr>
          <w:lang w:val="en-US"/>
        </w:rPr>
        <w:t>small scale LNG vessels</w:t>
      </w:r>
      <w:r w:rsidR="00DF7F0B">
        <w:rPr>
          <w:lang w:val="en-US"/>
        </w:rPr>
        <w:t>. Australia</w:t>
      </w:r>
      <w:r w:rsidR="00447BFF">
        <w:rPr>
          <w:lang w:val="en-US"/>
        </w:rPr>
        <w:t xml:space="preserve"> entered the small scale LNG business some 10 years ago and since then </w:t>
      </w:r>
      <w:r w:rsidR="000679CA">
        <w:rPr>
          <w:lang w:val="en-US"/>
        </w:rPr>
        <w:t>realiz</w:t>
      </w:r>
      <w:r w:rsidR="00447BFF">
        <w:rPr>
          <w:lang w:val="en-US"/>
        </w:rPr>
        <w:t xml:space="preserve">ed a </w:t>
      </w:r>
      <w:r w:rsidR="008E132C">
        <w:rPr>
          <w:lang w:val="en-US"/>
        </w:rPr>
        <w:t xml:space="preserve">first </w:t>
      </w:r>
      <w:r w:rsidR="00447BFF">
        <w:rPr>
          <w:lang w:val="en-US"/>
        </w:rPr>
        <w:t>few projects</w:t>
      </w:r>
      <w:r w:rsidR="00DF7F0B">
        <w:rPr>
          <w:lang w:val="en-US"/>
        </w:rPr>
        <w:t xml:space="preserve">. </w:t>
      </w:r>
      <w:r w:rsidR="00322BD1">
        <w:rPr>
          <w:lang w:val="en-US"/>
        </w:rPr>
        <w:t xml:space="preserve">India, </w:t>
      </w:r>
      <w:r w:rsidR="00DF7F0B">
        <w:rPr>
          <w:lang w:val="en-US"/>
        </w:rPr>
        <w:t>Thailand and Korea have started the small scale LNG business</w:t>
      </w:r>
      <w:r w:rsidR="00322BD1">
        <w:rPr>
          <w:lang w:val="en-US"/>
        </w:rPr>
        <w:t xml:space="preserve"> in their countries</w:t>
      </w:r>
      <w:r w:rsidR="00DF7F0B">
        <w:rPr>
          <w:lang w:val="en-US"/>
        </w:rPr>
        <w:t>, but so far with first demonstration projects</w:t>
      </w:r>
      <w:r w:rsidR="00322BD1">
        <w:rPr>
          <w:lang w:val="en-US"/>
        </w:rPr>
        <w:t xml:space="preserve"> only</w:t>
      </w:r>
      <w:r w:rsidR="00086E40">
        <w:rPr>
          <w:lang w:val="en-US"/>
        </w:rPr>
        <w:t>, strongly supported by government and state owned gas companies</w:t>
      </w:r>
      <w:r w:rsidR="00DF7F0B">
        <w:rPr>
          <w:lang w:val="en-US"/>
        </w:rPr>
        <w:t xml:space="preserve">. </w:t>
      </w:r>
      <w:r w:rsidR="00447BFF">
        <w:rPr>
          <w:lang w:val="en-US"/>
        </w:rPr>
        <w:t>Malaysia’s Petronas took FID for a small scale floater in 2012, however no land based small scale LNG projects are existing or planned in this country</w:t>
      </w:r>
      <w:r w:rsidR="006C2ECF">
        <w:rPr>
          <w:lang w:val="en-US"/>
        </w:rPr>
        <w:t xml:space="preserve"> so far</w:t>
      </w:r>
      <w:r w:rsidR="00447BFF">
        <w:rPr>
          <w:lang w:val="en-US"/>
        </w:rPr>
        <w:t>.</w:t>
      </w:r>
      <w:r w:rsidR="006C2ECF">
        <w:rPr>
          <w:lang w:val="en-US"/>
        </w:rPr>
        <w:t xml:space="preserve"> Indonesia and Singapore are seriously considering the implementation of </w:t>
      </w:r>
      <w:r w:rsidR="008E132C">
        <w:rPr>
          <w:lang w:val="en-US"/>
        </w:rPr>
        <w:t xml:space="preserve">a </w:t>
      </w:r>
      <w:r w:rsidR="006C2ECF">
        <w:rPr>
          <w:lang w:val="en-US"/>
        </w:rPr>
        <w:t>small scale LNG infrastructure, but the projects are still in the planning phase.</w:t>
      </w:r>
    </w:p>
    <w:p w:rsidR="003E078C" w:rsidRPr="003E078C" w:rsidRDefault="003E078C" w:rsidP="000356E3">
      <w:pPr>
        <w:rPr>
          <w:lang w:val="en-US"/>
        </w:rPr>
      </w:pPr>
      <w:r>
        <w:rPr>
          <w:lang w:val="en-US"/>
        </w:rPr>
        <w:t xml:space="preserve">In the area Middle East no small scale LNG projects existing or under execution could be </w:t>
      </w:r>
      <w:r w:rsidR="006C2ECF">
        <w:rPr>
          <w:lang w:val="en-US"/>
        </w:rPr>
        <w:t>identified.</w:t>
      </w:r>
    </w:p>
    <w:p w:rsidR="0079415F" w:rsidRDefault="000356E3" w:rsidP="0079415F">
      <w:pPr>
        <w:pStyle w:val="Heading1"/>
        <w:rPr>
          <w:lang w:val="en-US"/>
        </w:rPr>
      </w:pPr>
      <w:bookmarkStart w:id="2" w:name="_Toc369857019"/>
      <w:r>
        <w:rPr>
          <w:lang w:val="en-US"/>
        </w:rPr>
        <w:t>Analysis of regional data based on report structure</w:t>
      </w:r>
      <w:bookmarkEnd w:id="2"/>
    </w:p>
    <w:p w:rsidR="00FE548D" w:rsidRPr="00FE548D" w:rsidRDefault="00FE548D" w:rsidP="00FE548D">
      <w:pPr>
        <w:rPr>
          <w:lang w:val="en-US"/>
        </w:rPr>
      </w:pPr>
    </w:p>
    <w:p w:rsidR="00FE548D" w:rsidRDefault="00FE548D" w:rsidP="002D50F3">
      <w:pPr>
        <w:pStyle w:val="ListParagraph"/>
        <w:ind w:left="0"/>
        <w:rPr>
          <w:i/>
          <w:lang w:val="en-US"/>
        </w:rPr>
      </w:pPr>
      <w:r>
        <w:rPr>
          <w:i/>
          <w:lang w:val="en-US"/>
        </w:rPr>
        <w:t>Two categories can be used:</w:t>
      </w:r>
      <w:r w:rsidRPr="007F38D8">
        <w:rPr>
          <w:i/>
          <w:lang w:val="en-US"/>
        </w:rPr>
        <w:t xml:space="preserve"> consumption driven projects (regas) and production driven projects (liquefaction); </w:t>
      </w:r>
      <w:r>
        <w:rPr>
          <w:i/>
          <w:lang w:val="en-US"/>
        </w:rPr>
        <w:t>Transport/log</w:t>
      </w:r>
      <w:r w:rsidR="002D50F3">
        <w:rPr>
          <w:i/>
          <w:lang w:val="en-US"/>
        </w:rPr>
        <w:t>i</w:t>
      </w:r>
      <w:r>
        <w:rPr>
          <w:i/>
          <w:lang w:val="en-US"/>
        </w:rPr>
        <w:t xml:space="preserve">stics project should be associated to the </w:t>
      </w:r>
      <w:r w:rsidR="002D50F3">
        <w:rPr>
          <w:i/>
          <w:lang w:val="en-US"/>
        </w:rPr>
        <w:t>c</w:t>
      </w:r>
      <w:r>
        <w:rPr>
          <w:i/>
          <w:lang w:val="en-US"/>
        </w:rPr>
        <w:t xml:space="preserve">onsumption/production project they support. </w:t>
      </w:r>
      <w:r w:rsidRPr="007F38D8">
        <w:rPr>
          <w:i/>
          <w:lang w:val="en-US"/>
        </w:rPr>
        <w:t xml:space="preserve"> </w:t>
      </w:r>
    </w:p>
    <w:p w:rsidR="00FE548D" w:rsidRDefault="00FE548D" w:rsidP="002D50F3">
      <w:pPr>
        <w:pStyle w:val="ListParagraph"/>
        <w:ind w:left="0"/>
        <w:rPr>
          <w:i/>
          <w:lang w:val="en-US"/>
        </w:rPr>
      </w:pPr>
      <w:r>
        <w:rPr>
          <w:i/>
          <w:lang w:val="en-US"/>
        </w:rPr>
        <w:t>Please  describe the category, not all the specific projects. Examples and information from specific projects shall be used to support the description.</w:t>
      </w:r>
    </w:p>
    <w:p w:rsidR="00FE548D" w:rsidRPr="007F38D8" w:rsidRDefault="00FE548D" w:rsidP="002D50F3">
      <w:pPr>
        <w:pStyle w:val="ListParagraph"/>
        <w:ind w:left="0"/>
        <w:rPr>
          <w:i/>
          <w:lang w:val="en-US"/>
        </w:rPr>
      </w:pPr>
    </w:p>
    <w:p w:rsidR="00FE548D" w:rsidRPr="002D50F3" w:rsidRDefault="00FE548D" w:rsidP="002D50F3">
      <w:pPr>
        <w:pStyle w:val="ListParagraph"/>
        <w:ind w:left="0"/>
        <w:rPr>
          <w:i/>
          <w:lang w:val="en-US"/>
        </w:rPr>
      </w:pPr>
      <w:r w:rsidRPr="002D50F3">
        <w:rPr>
          <w:i/>
          <w:lang w:val="en-US"/>
        </w:rPr>
        <w:t>For each of these categories:</w:t>
      </w:r>
    </w:p>
    <w:p w:rsidR="00FE548D" w:rsidRDefault="00FE548D" w:rsidP="00FE548D">
      <w:pPr>
        <w:pStyle w:val="ListParagraph"/>
        <w:rPr>
          <w:lang w:val="en-US"/>
        </w:rPr>
      </w:pPr>
    </w:p>
    <w:p w:rsidR="00FE548D" w:rsidRPr="007F38D8" w:rsidRDefault="00FE548D" w:rsidP="00FE548D">
      <w:pPr>
        <w:pStyle w:val="Heading2"/>
        <w:rPr>
          <w:lang w:val="en-US"/>
        </w:rPr>
      </w:pPr>
      <w:r w:rsidRPr="007F38D8">
        <w:rPr>
          <w:lang w:val="en-US"/>
        </w:rPr>
        <w:t xml:space="preserve"> </w:t>
      </w:r>
      <w:bookmarkStart w:id="3" w:name="_Toc369857020"/>
      <w:r w:rsidRPr="007F38D8">
        <w:rPr>
          <w:lang w:val="en-US"/>
        </w:rPr>
        <w:t>Consumption driven:</w:t>
      </w:r>
      <w:bookmarkEnd w:id="3"/>
    </w:p>
    <w:p w:rsidR="00FE548D" w:rsidRPr="002D50F3" w:rsidRDefault="00FE548D" w:rsidP="00FE548D">
      <w:pPr>
        <w:pStyle w:val="ListParagraph"/>
        <w:numPr>
          <w:ilvl w:val="0"/>
          <w:numId w:val="41"/>
        </w:numPr>
        <w:spacing w:line="276" w:lineRule="auto"/>
        <w:rPr>
          <w:i/>
          <w:lang w:val="en-US"/>
        </w:rPr>
      </w:pPr>
      <w:r w:rsidRPr="002D50F3">
        <w:rPr>
          <w:b/>
          <w:i/>
          <w:lang w:val="en-US"/>
        </w:rPr>
        <w:t>Main drivers &amp; business model:</w:t>
      </w:r>
      <w:r w:rsidRPr="002D50F3">
        <w:rPr>
          <w:i/>
          <w:lang w:val="en-US"/>
        </w:rPr>
        <w:t xml:space="preserve"> for developing and implementing the projects of the category (generic). Example: main consumers, critical mass of the consumption (size), seasonality, price signals, alternative fuels, distance to supply, specific items for making the small scale feasible, business models, etc.</w:t>
      </w:r>
    </w:p>
    <w:p w:rsidR="00FE548D" w:rsidRPr="002D50F3" w:rsidRDefault="00FE548D" w:rsidP="00FE548D">
      <w:pPr>
        <w:pStyle w:val="ListParagraph"/>
        <w:numPr>
          <w:ilvl w:val="0"/>
          <w:numId w:val="41"/>
        </w:numPr>
        <w:spacing w:line="276" w:lineRule="auto"/>
        <w:rPr>
          <w:i/>
          <w:lang w:val="en-US"/>
        </w:rPr>
      </w:pPr>
      <w:r w:rsidRPr="002D50F3">
        <w:rPr>
          <w:b/>
          <w:i/>
          <w:lang w:val="en-US"/>
        </w:rPr>
        <w:t>Key Players:</w:t>
      </w:r>
      <w:r w:rsidRPr="002D50F3">
        <w:rPr>
          <w:i/>
          <w:lang w:val="en-US"/>
        </w:rPr>
        <w:t xml:space="preserve"> for securing consumption, for the infrastructures / technologies, for securing the supply.</w:t>
      </w:r>
    </w:p>
    <w:p w:rsidR="00FE548D" w:rsidRDefault="00FE548D" w:rsidP="00FE548D">
      <w:pPr>
        <w:pStyle w:val="ListParagraph"/>
        <w:numPr>
          <w:ilvl w:val="0"/>
          <w:numId w:val="41"/>
        </w:numPr>
        <w:spacing w:line="276" w:lineRule="auto"/>
        <w:rPr>
          <w:lang w:val="en-US"/>
        </w:rPr>
      </w:pPr>
      <w:r w:rsidRPr="002D50F3">
        <w:rPr>
          <w:b/>
          <w:i/>
          <w:lang w:val="en-US"/>
        </w:rPr>
        <w:lastRenderedPageBreak/>
        <w:t>Main conclusions</w:t>
      </w:r>
    </w:p>
    <w:p w:rsidR="00FE548D" w:rsidRDefault="00FE548D" w:rsidP="00FE548D">
      <w:pPr>
        <w:pStyle w:val="ListParagraph"/>
        <w:ind w:left="1440"/>
        <w:rPr>
          <w:lang w:val="en-US"/>
        </w:rPr>
      </w:pPr>
    </w:p>
    <w:p w:rsidR="00FE548D" w:rsidRPr="007F38D8" w:rsidRDefault="00FE548D" w:rsidP="00486809">
      <w:pPr>
        <w:pStyle w:val="Heading2"/>
        <w:rPr>
          <w:lang w:val="en-US"/>
        </w:rPr>
      </w:pPr>
      <w:r w:rsidRPr="007F38D8">
        <w:rPr>
          <w:lang w:val="en-US"/>
        </w:rPr>
        <w:t xml:space="preserve"> Production driven:</w:t>
      </w:r>
    </w:p>
    <w:p w:rsidR="00FE548D" w:rsidRPr="002D50F3" w:rsidRDefault="00FE548D" w:rsidP="00FE548D">
      <w:pPr>
        <w:pStyle w:val="ListParagraph"/>
        <w:numPr>
          <w:ilvl w:val="0"/>
          <w:numId w:val="41"/>
        </w:numPr>
        <w:spacing w:line="276" w:lineRule="auto"/>
        <w:rPr>
          <w:i/>
          <w:lang w:val="en-US"/>
        </w:rPr>
      </w:pPr>
      <w:r w:rsidRPr="002D50F3">
        <w:rPr>
          <w:b/>
          <w:i/>
          <w:lang w:val="en-US"/>
        </w:rPr>
        <w:t>Main drivers &amp; business model:</w:t>
      </w:r>
      <w:r w:rsidRPr="002D50F3">
        <w:rPr>
          <w:i/>
          <w:lang w:val="en-US"/>
        </w:rPr>
        <w:t xml:space="preserve"> for developing and implementing the projects of the category (generic). Example: Kind of resources (size), kind of companies, specific items for making the small scale feasible, business models, etc.</w:t>
      </w:r>
    </w:p>
    <w:p w:rsidR="00FE548D" w:rsidRPr="002D50F3" w:rsidRDefault="00FE548D" w:rsidP="00FE548D">
      <w:pPr>
        <w:pStyle w:val="ListParagraph"/>
        <w:numPr>
          <w:ilvl w:val="0"/>
          <w:numId w:val="41"/>
        </w:numPr>
        <w:spacing w:line="276" w:lineRule="auto"/>
        <w:rPr>
          <w:i/>
          <w:lang w:val="en-US"/>
        </w:rPr>
      </w:pPr>
      <w:r w:rsidRPr="002D50F3">
        <w:rPr>
          <w:b/>
          <w:i/>
          <w:lang w:val="en-US"/>
        </w:rPr>
        <w:t>Key Players:</w:t>
      </w:r>
      <w:r w:rsidRPr="002D50F3">
        <w:rPr>
          <w:i/>
          <w:lang w:val="en-US"/>
        </w:rPr>
        <w:t xml:space="preserve"> for upstream, liquefaction infrastructures-technologies, transport.</w:t>
      </w:r>
    </w:p>
    <w:p w:rsidR="00FE548D" w:rsidRPr="002D50F3" w:rsidRDefault="00FE548D" w:rsidP="00FE548D">
      <w:pPr>
        <w:pStyle w:val="ListParagraph"/>
        <w:ind w:left="1440"/>
        <w:rPr>
          <w:i/>
          <w:lang w:val="en-US"/>
        </w:rPr>
      </w:pPr>
      <w:r w:rsidRPr="002D50F3">
        <w:rPr>
          <w:i/>
          <w:lang w:val="en-US"/>
        </w:rPr>
        <w:t>Note: in the case of Caribbean&amp;Central America the shipping is included in this category.</w:t>
      </w:r>
    </w:p>
    <w:p w:rsidR="00FE548D" w:rsidRPr="002D50F3" w:rsidRDefault="00FE548D" w:rsidP="00FE548D">
      <w:pPr>
        <w:pStyle w:val="ListParagraph"/>
        <w:numPr>
          <w:ilvl w:val="0"/>
          <w:numId w:val="41"/>
        </w:numPr>
        <w:spacing w:line="276" w:lineRule="auto"/>
        <w:rPr>
          <w:b/>
          <w:i/>
          <w:lang w:val="en-US"/>
        </w:rPr>
      </w:pPr>
      <w:r w:rsidRPr="002D50F3">
        <w:rPr>
          <w:b/>
          <w:i/>
          <w:lang w:val="en-US"/>
        </w:rPr>
        <w:t>Main conclusions</w:t>
      </w:r>
    </w:p>
    <w:p w:rsidR="003A2D43" w:rsidRDefault="003A2D43" w:rsidP="00CE03D8">
      <w:pPr>
        <w:spacing w:before="100" w:beforeAutospacing="1" w:after="100" w:afterAutospacing="1"/>
        <w:rPr>
          <w:b/>
          <w:sz w:val="24"/>
          <w:szCs w:val="24"/>
        </w:rPr>
      </w:pPr>
    </w:p>
    <w:p w:rsidR="00B26AA0" w:rsidRDefault="003A2D43" w:rsidP="00CE03D8">
      <w:pPr>
        <w:spacing w:before="100" w:beforeAutospacing="1" w:after="100" w:afterAutospacing="1"/>
        <w:rPr>
          <w:b/>
          <w:sz w:val="24"/>
          <w:szCs w:val="24"/>
        </w:rPr>
      </w:pPr>
      <w:r w:rsidRPr="003A2D43">
        <w:rPr>
          <w:b/>
          <w:sz w:val="24"/>
          <w:szCs w:val="24"/>
        </w:rPr>
        <w:t>Australia</w:t>
      </w:r>
    </w:p>
    <w:p w:rsidR="003A2D43" w:rsidRDefault="00F0383A" w:rsidP="000A1252">
      <w:pPr>
        <w:spacing w:before="100" w:beforeAutospacing="1" w:after="100" w:afterAutospacing="1"/>
        <w:jc w:val="both"/>
      </w:pPr>
      <w:r>
        <w:t xml:space="preserve">In Australia small scale LNG business started already in the 80ies of last century with a 150tpd liquefaction plant built in Dandenong. This </w:t>
      </w:r>
      <w:r w:rsidR="00443A17">
        <w:t>installation</w:t>
      </w:r>
      <w:r>
        <w:t xml:space="preserve"> </w:t>
      </w:r>
      <w:r w:rsidR="00443A17">
        <w:t xml:space="preserve">partly </w:t>
      </w:r>
      <w:r>
        <w:t xml:space="preserve">acts as peak shaving </w:t>
      </w:r>
      <w:r w:rsidR="00443A17">
        <w:t xml:space="preserve">facility for the regional gas pipeline grid. The remaining LNG product is trucked to local </w:t>
      </w:r>
      <w:r w:rsidR="009C5574">
        <w:t xml:space="preserve">industrial </w:t>
      </w:r>
      <w:r w:rsidR="00443A17">
        <w:t>consumers.</w:t>
      </w:r>
    </w:p>
    <w:p w:rsidR="00443A17" w:rsidRDefault="00443A17" w:rsidP="000A1252">
      <w:pPr>
        <w:spacing w:before="100" w:beforeAutospacing="1" w:after="100" w:afterAutospacing="1"/>
        <w:jc w:val="both"/>
      </w:pPr>
      <w:r>
        <w:t>Only after the beginning of the new century two small scale liquefaction plants have been realised on the west coast of Australia</w:t>
      </w:r>
      <w:r w:rsidR="00FD6F5A">
        <w:t xml:space="preserve">, one by Energy Development Ltd. in Karratha and the other one by Wesfarmers </w:t>
      </w:r>
      <w:r w:rsidR="00792912">
        <w:t>Gas</w:t>
      </w:r>
      <w:r w:rsidR="00FD6F5A">
        <w:t xml:space="preserve"> Ltd. in Kwinana. B</w:t>
      </w:r>
      <w:r>
        <w:t xml:space="preserve">oth </w:t>
      </w:r>
      <w:r w:rsidR="00FD6F5A">
        <w:t>plants have</w:t>
      </w:r>
      <w:r>
        <w:t xml:space="preserve"> a liquefaction capacity close to 200 tpd. The driver</w:t>
      </w:r>
      <w:r w:rsidR="00086C5D">
        <w:t>s</w:t>
      </w:r>
      <w:r>
        <w:t xml:space="preserve"> for </w:t>
      </w:r>
      <w:r w:rsidR="00FD6F5A">
        <w:t>these</w:t>
      </w:r>
      <w:r>
        <w:t xml:space="preserve"> projects </w:t>
      </w:r>
      <w:r w:rsidR="009C5574">
        <w:t>ha</w:t>
      </w:r>
      <w:r w:rsidR="00FD6F5A">
        <w:t>ve</w:t>
      </w:r>
      <w:r w:rsidR="009C5574">
        <w:t xml:space="preserve"> been</w:t>
      </w:r>
      <w:r>
        <w:t xml:space="preserve"> the fuel requirement of remote power stations along the west coast of Australia. Furthermore the LNG product is used as a substitute </w:t>
      </w:r>
      <w:r w:rsidR="009C5574">
        <w:t>of</w:t>
      </w:r>
      <w:r>
        <w:t xml:space="preserve"> diesel for fuelling mining trucks.</w:t>
      </w:r>
    </w:p>
    <w:p w:rsidR="009C5574" w:rsidRDefault="009C5574" w:rsidP="000A1252">
      <w:pPr>
        <w:spacing w:before="100" w:beforeAutospacing="1" w:after="100" w:afterAutospacing="1"/>
        <w:jc w:val="both"/>
      </w:pPr>
      <w:r>
        <w:t xml:space="preserve">Both plants use a mixed refrigerant cycle for liquefying the natural gas, which is taken </w:t>
      </w:r>
      <w:r w:rsidR="00FD6F5A">
        <w:t xml:space="preserve">directly </w:t>
      </w:r>
      <w:r>
        <w:t xml:space="preserve">from the pipeline in </w:t>
      </w:r>
      <w:r w:rsidR="00FD6F5A">
        <w:t>Karratha</w:t>
      </w:r>
      <w:r>
        <w:t xml:space="preserve"> and downstream of an already existing LPG recovery plant in </w:t>
      </w:r>
      <w:r w:rsidR="00FD6F5A">
        <w:t>Kwinana</w:t>
      </w:r>
      <w:r>
        <w:t xml:space="preserve">. Liquefaction technology and EP services for the facility </w:t>
      </w:r>
      <w:r w:rsidR="00FD6F5A">
        <w:t xml:space="preserve">of Energy Development Ltd. </w:t>
      </w:r>
      <w:r>
        <w:t>were provided by Kropak/Salof, while Linde acted a technology provider and EPC contractor for the plant</w:t>
      </w:r>
      <w:r w:rsidR="00FD6F5A">
        <w:t xml:space="preserve"> of Wesfarmers </w:t>
      </w:r>
      <w:r w:rsidR="00792912">
        <w:t>Gas</w:t>
      </w:r>
      <w:r w:rsidR="00FD6F5A">
        <w:t xml:space="preserve"> Ltd.</w:t>
      </w:r>
      <w:r>
        <w:t>.</w:t>
      </w:r>
    </w:p>
    <w:p w:rsidR="00052EAC" w:rsidRPr="003A2D43" w:rsidRDefault="009A7833" w:rsidP="000A1252">
      <w:pPr>
        <w:spacing w:before="100" w:beforeAutospacing="1" w:after="100" w:afterAutospacing="1"/>
        <w:jc w:val="both"/>
      </w:pPr>
      <w:r>
        <w:t xml:space="preserve">In 2010 BOC Ltd. a subsidiary of The Linde Group inaugurated a 50tpd LNG plant in Tasmania. The LNG is utilised for truck fuelling, generating off grid power and </w:t>
      </w:r>
      <w:r w:rsidR="00E40E45">
        <w:t>some industrial clients in the vicinity of the plant.</w:t>
      </w:r>
      <w:r w:rsidR="00B5545B">
        <w:t xml:space="preserve"> A mixed refrigerant cycle provides the cooling duty to liquefy the natural gas</w:t>
      </w:r>
      <w:r w:rsidR="00D06E32">
        <w:t xml:space="preserve"> from the local grid</w:t>
      </w:r>
      <w:r w:rsidR="00B5545B">
        <w:t>.</w:t>
      </w:r>
    </w:p>
    <w:p w:rsidR="003A2D43" w:rsidRPr="003A2D43" w:rsidRDefault="003A2D43" w:rsidP="00CE03D8">
      <w:pPr>
        <w:spacing w:before="100" w:beforeAutospacing="1" w:after="100" w:afterAutospacing="1"/>
        <w:rPr>
          <w:b/>
          <w:sz w:val="24"/>
          <w:szCs w:val="24"/>
        </w:rPr>
      </w:pPr>
      <w:r w:rsidRPr="003A2D43">
        <w:rPr>
          <w:b/>
          <w:sz w:val="24"/>
          <w:szCs w:val="24"/>
        </w:rPr>
        <w:t>China</w:t>
      </w:r>
    </w:p>
    <w:p w:rsidR="00591104" w:rsidRDefault="001B5C07" w:rsidP="00CE03D8">
      <w:pPr>
        <w:spacing w:before="100" w:beforeAutospacing="1" w:after="100" w:afterAutospacing="1"/>
      </w:pPr>
      <w:r>
        <w:t xml:space="preserve">In the early days of this century small scale LNG business started to develop in China. </w:t>
      </w:r>
      <w:r w:rsidR="003F4E27">
        <w:t xml:space="preserve">The major drivers for this new business </w:t>
      </w:r>
      <w:r w:rsidR="00591104">
        <w:t xml:space="preserve">in the country </w:t>
      </w:r>
      <w:r w:rsidR="003F4E27">
        <w:t>are the limited access to gas via pipeline outside of the major cities and large truck fleets operating in industries like coal mining. Replacing diesel by LNG provides significant savings</w:t>
      </w:r>
      <w:r w:rsidR="00591104">
        <w:t xml:space="preserve"> in cost for the fleet</w:t>
      </w:r>
      <w:r w:rsidR="003416B6">
        <w:t xml:space="preserve"> operators</w:t>
      </w:r>
      <w:r w:rsidR="00591104">
        <w:t xml:space="preserve">. </w:t>
      </w:r>
      <w:r w:rsidR="00221A9B">
        <w:t>Meanwhile i</w:t>
      </w:r>
      <w:r w:rsidR="00591104">
        <w:t xml:space="preserve">n some cities </w:t>
      </w:r>
      <w:r w:rsidR="00221A9B">
        <w:t xml:space="preserve">also </w:t>
      </w:r>
      <w:r w:rsidR="00591104">
        <w:t>public bus fleets are converted from diesel to LNG.</w:t>
      </w:r>
    </w:p>
    <w:p w:rsidR="003A2D43" w:rsidRDefault="00792912" w:rsidP="00CE03D8">
      <w:pPr>
        <w:spacing w:before="100" w:beforeAutospacing="1" w:after="100" w:afterAutospacing="1"/>
      </w:pPr>
      <w:r>
        <w:t>The private company Guanghui</w:t>
      </w:r>
      <w:r w:rsidR="00BF66C8">
        <w:t xml:space="preserve"> took FID in 2002 for a 0.3 mtpa liquefaction plant to be installed close to the Tuha oilfield in the north-western province of Xinjiang</w:t>
      </w:r>
      <w:r w:rsidR="00591104">
        <w:t xml:space="preserve">. This pioneering project </w:t>
      </w:r>
      <w:r w:rsidR="00221A9B">
        <w:t xml:space="preserve">of the small scale LNG business in China </w:t>
      </w:r>
      <w:r w:rsidR="00591104">
        <w:t xml:space="preserve">liquefies associated gas from the oilfield with a proprietary mixed </w:t>
      </w:r>
      <w:r w:rsidR="00591104">
        <w:lastRenderedPageBreak/>
        <w:t>refrigerant cycle process in a coil wound heat exchanger</w:t>
      </w:r>
      <w:r w:rsidR="00221A9B">
        <w:t>, both from Linde</w:t>
      </w:r>
      <w:r w:rsidR="00591104">
        <w:t xml:space="preserve">. The LNG product </w:t>
      </w:r>
      <w:r w:rsidR="003416B6">
        <w:t xml:space="preserve">from this plant </w:t>
      </w:r>
      <w:r w:rsidR="00591104">
        <w:t>is trucked across China to numerous industrial consumers, the most distant one</w:t>
      </w:r>
      <w:r w:rsidR="00221A9B">
        <w:t>s</w:t>
      </w:r>
      <w:r w:rsidR="00591104">
        <w:t xml:space="preserve"> more than </w:t>
      </w:r>
      <w:r w:rsidR="00221A9B">
        <w:t>4000km away from the plant on the east coast of the country.</w:t>
      </w:r>
    </w:p>
    <w:p w:rsidR="00B847FD" w:rsidRDefault="00221A9B" w:rsidP="00CD77D7">
      <w:pPr>
        <w:spacing w:before="100" w:beforeAutospacing="1" w:after="100" w:afterAutospacing="1"/>
      </w:pPr>
      <w:r>
        <w:t xml:space="preserve">Since then the small scale LNG business in China saw a very dynamic and fast development. </w:t>
      </w:r>
      <w:r w:rsidR="00CD77D7">
        <w:t>Due to the huge number of projects identified and the challenge to verify all sources t</w:t>
      </w:r>
      <w:r>
        <w:t xml:space="preserve">he exact number of liquefaction plants already in operation or under construction is difficult to determine. </w:t>
      </w:r>
      <w:r w:rsidR="00CD77D7">
        <w:t>It is expected that meanwhile approx. 90 small scale liquefaction plants are in operation or close to start-up with a total design liquefaction capacity in the order of 12 mtpa. Plant liquefaction capacities range from 0</w:t>
      </w:r>
      <w:r w:rsidR="003416B6">
        <w:t>.</w:t>
      </w:r>
      <w:r w:rsidR="00CD77D7">
        <w:t>005 to 0</w:t>
      </w:r>
      <w:r w:rsidR="003416B6">
        <w:t>.</w:t>
      </w:r>
      <w:r w:rsidR="00CD77D7">
        <w:t>5 mtpa</w:t>
      </w:r>
      <w:r w:rsidR="00450C0B">
        <w:t xml:space="preserve"> </w:t>
      </w:r>
      <w:r w:rsidR="00CD77D7">
        <w:t>(15 to 1500 tpd) in a single train</w:t>
      </w:r>
      <w:r w:rsidR="00450C0B">
        <w:t>.</w:t>
      </w:r>
      <w:r w:rsidR="00B1240A">
        <w:t xml:space="preserve"> A</w:t>
      </w:r>
      <w:r w:rsidR="00B1240A" w:rsidRPr="00B1240A">
        <w:t xml:space="preserve"> significant number of plants seem to suffer from insufficient feed stock supply and/or not </w:t>
      </w:r>
      <w:r w:rsidR="003416B6">
        <w:t>yet fully</w:t>
      </w:r>
      <w:r w:rsidR="00B1240A" w:rsidRPr="00B1240A">
        <w:t xml:space="preserve"> developed downstream</w:t>
      </w:r>
      <w:r w:rsidR="00B1240A">
        <w:t xml:space="preserve"> </w:t>
      </w:r>
      <w:r w:rsidR="00B1240A" w:rsidRPr="00B1240A">
        <w:t>market</w:t>
      </w:r>
      <w:r w:rsidR="004D07E6">
        <w:t>s</w:t>
      </w:r>
      <w:r w:rsidR="00B1240A" w:rsidRPr="00B1240A">
        <w:t xml:space="preserve">, hence actually produced amount </w:t>
      </w:r>
      <w:r w:rsidR="00B1240A">
        <w:t xml:space="preserve">of LNG </w:t>
      </w:r>
      <w:r w:rsidR="00B1240A" w:rsidRPr="00B1240A">
        <w:t xml:space="preserve">will be lower than </w:t>
      </w:r>
      <w:r w:rsidR="00B1240A">
        <w:t xml:space="preserve">the plant </w:t>
      </w:r>
      <w:r w:rsidR="00B1240A" w:rsidRPr="00B1240A">
        <w:t>design value</w:t>
      </w:r>
      <w:r w:rsidR="003416B6">
        <w:t>s</w:t>
      </w:r>
      <w:r w:rsidR="00B1240A">
        <w:t>.</w:t>
      </w:r>
    </w:p>
    <w:p w:rsidR="00221A9B" w:rsidRDefault="00221A9B" w:rsidP="00CE03D8">
      <w:pPr>
        <w:spacing w:before="100" w:beforeAutospacing="1" w:after="100" w:afterAutospacing="1"/>
      </w:pPr>
      <w:r>
        <w:t>Besides Linde meanwhile also Black&amp;Veatch and Air Products provided their MRC liquefaction technology to various projects across the country.</w:t>
      </w:r>
      <w:r w:rsidR="00BE3299">
        <w:t xml:space="preserve"> In addition to these well-established international players in the field of LNG technology various local Chinese companies entered this business as well. </w:t>
      </w:r>
      <w:r w:rsidR="004F4F18" w:rsidRPr="004F4F18">
        <w:t>Chengdu Cryogenic, CPE South-West, Fortune,</w:t>
      </w:r>
      <w:r w:rsidR="004F4F18">
        <w:t xml:space="preserve"> </w:t>
      </w:r>
      <w:r w:rsidR="004F4F18" w:rsidRPr="004F4F18">
        <w:t>Harbin Cryogenic,</w:t>
      </w:r>
      <w:r w:rsidR="004F4F18">
        <w:t xml:space="preserve"> </w:t>
      </w:r>
      <w:r w:rsidR="004D07E6">
        <w:t>HQCEC, Lvneng Group</w:t>
      </w:r>
      <w:r w:rsidR="004F4F18">
        <w:t xml:space="preserve"> and</w:t>
      </w:r>
      <w:r w:rsidR="004D07E6">
        <w:t xml:space="preserve"> </w:t>
      </w:r>
      <w:r w:rsidR="004F4F18" w:rsidRPr="004F4F18">
        <w:t>Sichuan Air Separation</w:t>
      </w:r>
      <w:r w:rsidR="004F4F18">
        <w:t xml:space="preserve"> </w:t>
      </w:r>
      <w:r w:rsidR="004D07E6">
        <w:t>a</w:t>
      </w:r>
      <w:r w:rsidR="00BE3299">
        <w:t xml:space="preserve">re the companies with the largest number of reference projects. </w:t>
      </w:r>
      <w:r w:rsidR="004F4F18">
        <w:t xml:space="preserve">So far the local companies had been considered </w:t>
      </w:r>
      <w:r w:rsidR="003416B6">
        <w:t xml:space="preserve">only </w:t>
      </w:r>
      <w:r w:rsidR="004F4F18">
        <w:t xml:space="preserve">for plant liquefaction capacities of equal or less than </w:t>
      </w:r>
      <w:r w:rsidR="00A62E4D">
        <w:t>0.3 mtpa in one single train in most cases. With an increasing number of reference plant</w:t>
      </w:r>
      <w:r w:rsidR="003416B6">
        <w:t>s</w:t>
      </w:r>
      <w:r w:rsidR="00A62E4D">
        <w:t xml:space="preserve"> being started up the </w:t>
      </w:r>
      <w:r w:rsidR="003416B6">
        <w:t xml:space="preserve">local players </w:t>
      </w:r>
      <w:r w:rsidR="00A62E4D">
        <w:t>now also tempt to enter the business segment of larger plants, which up to now had been served by the established international technology providers only.</w:t>
      </w:r>
    </w:p>
    <w:p w:rsidR="00BE5186" w:rsidRDefault="00BE5186" w:rsidP="00CE03D8">
      <w:pPr>
        <w:spacing w:before="100" w:beforeAutospacing="1" w:after="100" w:afterAutospacing="1"/>
      </w:pPr>
      <w:r>
        <w:t>Due to the limited own conventional natural gas resources</w:t>
      </w:r>
      <w:r w:rsidR="004E260C">
        <w:t xml:space="preserve"> small scale LNG business in China utilises a variety of feed stocks. Synthetic/substitute natural gas (SNG) from co</w:t>
      </w:r>
      <w:r w:rsidR="008F3DF7">
        <w:t xml:space="preserve">al gasification, coke </w:t>
      </w:r>
      <w:r w:rsidR="003C574A">
        <w:t xml:space="preserve">gas and </w:t>
      </w:r>
      <w:r w:rsidR="004E260C">
        <w:t>coal bed methane</w:t>
      </w:r>
      <w:r w:rsidR="003C574A">
        <w:t xml:space="preserve"> </w:t>
      </w:r>
      <w:r w:rsidR="008F3DF7">
        <w:t xml:space="preserve">are alternative sources of methane. </w:t>
      </w:r>
    </w:p>
    <w:p w:rsidR="008F3DF7" w:rsidRDefault="00F83BA4" w:rsidP="00CE03D8">
      <w:pPr>
        <w:spacing w:before="100" w:beforeAutospacing="1" w:after="100" w:afterAutospacing="1"/>
      </w:pPr>
      <w:r>
        <w:t>As the natural gas resources and the pipeline grid are owned by the Chinese n</w:t>
      </w:r>
      <w:r w:rsidR="008F3DF7">
        <w:t xml:space="preserve">ational </w:t>
      </w:r>
      <w:r>
        <w:t xml:space="preserve">oil&amp;gas </w:t>
      </w:r>
      <w:r w:rsidR="008F3DF7">
        <w:t xml:space="preserve">companies </w:t>
      </w:r>
      <w:r>
        <w:t xml:space="preserve">they are also the major players in the small scale LNG </w:t>
      </w:r>
      <w:r w:rsidR="008F3DF7">
        <w:t>market.</w:t>
      </w:r>
      <w:r>
        <w:t xml:space="preserve"> Especially CNPC with its subsidiary Kunlun Energy run a significant number of projects in various provinces.</w:t>
      </w:r>
      <w:r w:rsidR="005556CE">
        <w:t xml:space="preserve"> In addition to the national companies newcomers to the energy business, looking for an attractive investment of money they have earned e.g in the real estate business, are setting up small scale LNG chains. </w:t>
      </w:r>
      <w:bookmarkStart w:id="4" w:name="_GoBack"/>
      <w:bookmarkEnd w:id="4"/>
    </w:p>
    <w:p w:rsidR="008F3DF7" w:rsidRDefault="004B12E1" w:rsidP="00CE03D8">
      <w:pPr>
        <w:spacing w:before="100" w:beforeAutospacing="1" w:after="100" w:afterAutospacing="1"/>
      </w:pPr>
      <w:r>
        <w:t>The growth of the Chinese small scale LNG market is expected to continue in the coming years. More than 50 projects in the planning phase could be identified in the local media.</w:t>
      </w:r>
    </w:p>
    <w:p w:rsidR="002B5D48" w:rsidRDefault="002B5D48" w:rsidP="00CE03D8">
      <w:pPr>
        <w:spacing w:before="100" w:beforeAutospacing="1" w:after="100" w:afterAutospacing="1"/>
        <w:rPr>
          <w:b/>
          <w:sz w:val="24"/>
          <w:szCs w:val="24"/>
        </w:rPr>
      </w:pPr>
      <w:r w:rsidRPr="002B5D48">
        <w:rPr>
          <w:b/>
          <w:sz w:val="24"/>
          <w:szCs w:val="24"/>
        </w:rPr>
        <w:t>India</w:t>
      </w:r>
    </w:p>
    <w:p w:rsidR="000A1252" w:rsidRDefault="00457C8A" w:rsidP="004B7209">
      <w:pPr>
        <w:spacing w:after="0" w:line="288" w:lineRule="auto"/>
        <w:jc w:val="both"/>
      </w:pPr>
      <w:r w:rsidRPr="00457C8A">
        <w:t xml:space="preserve">India’s current natural gas market is </w:t>
      </w:r>
      <w:r w:rsidR="00C17AE0">
        <w:t>evolving very fast in terms of exploration &amp; production, setting up of infrastructure</w:t>
      </w:r>
      <w:r w:rsidR="007E3322">
        <w:t xml:space="preserve"> for gas transmission and LNG import terminals to meet the growing demand of Natural Gas.</w:t>
      </w:r>
      <w:r w:rsidR="009D7813">
        <w:t xml:space="preserve"> As far as liquefaction of Natural Gas is concerned, there is no </w:t>
      </w:r>
      <w:r w:rsidR="009D7813" w:rsidRPr="00C17AE0">
        <w:t>operati</w:t>
      </w:r>
      <w:r w:rsidR="00C17AE0">
        <w:t>ng</w:t>
      </w:r>
      <w:r w:rsidR="009D7813">
        <w:t xml:space="preserve"> liquefaction plant of any size. However, </w:t>
      </w:r>
      <w:r w:rsidR="007E3322">
        <w:t xml:space="preserve">realizing the significance of natural gas, </w:t>
      </w:r>
      <w:r w:rsidR="009D7813">
        <w:t>efforts are being made by several stake holders for setting up small liquefaction plants for monetizing stranded gas from Marginal fields, CBM, and even piped gas. Economic viability would be driving force for success of such projects.</w:t>
      </w:r>
    </w:p>
    <w:p w:rsidR="004B7209" w:rsidRDefault="004B7209" w:rsidP="004B7209">
      <w:pPr>
        <w:spacing w:after="0" w:line="288" w:lineRule="auto"/>
        <w:jc w:val="both"/>
      </w:pPr>
    </w:p>
    <w:p w:rsidR="004B7209" w:rsidRDefault="004B7209" w:rsidP="004B7209">
      <w:pPr>
        <w:spacing w:after="0" w:line="288" w:lineRule="auto"/>
        <w:jc w:val="both"/>
      </w:pPr>
      <w:r>
        <w:t>Small LNG storage and re-gasification facilities do exist in India. Industrial customers away from Natural Gas pipeline network adopted the model for LNG marketing &amp; distribution by road – “LNG at Doorstep” that was pioneered by Indian Oil Corporation Limited</w:t>
      </w:r>
      <w:r w:rsidR="00151CEB">
        <w:t xml:space="preserve"> during 2007. Around 18-20 industrial </w:t>
      </w:r>
      <w:r w:rsidR="00151CEB">
        <w:lastRenderedPageBreak/>
        <w:t xml:space="preserve">customers in India have set up small LNG storage &amp; re-gas facilities and have been </w:t>
      </w:r>
      <w:r w:rsidR="000E0385">
        <w:t xml:space="preserve">sourcing LNG from existing large LNG Terminals. They store LNG, re-gasify through ambient air vaporizers and </w:t>
      </w:r>
      <w:r w:rsidR="00151CEB">
        <w:t>us</w:t>
      </w:r>
      <w:r w:rsidR="000E0385">
        <w:t>e</w:t>
      </w:r>
      <w:r w:rsidR="00151CEB">
        <w:t xml:space="preserve"> natural gas with their delight</w:t>
      </w:r>
      <w:r w:rsidR="000E0385">
        <w:t xml:space="preserve"> &amp; convenience</w:t>
      </w:r>
      <w:r w:rsidR="00151CEB">
        <w:t xml:space="preserve">. </w:t>
      </w:r>
      <w:r>
        <w:t xml:space="preserve"> </w:t>
      </w:r>
      <w:r w:rsidR="006D41E4">
        <w:t xml:space="preserve">Inland “Hub &amp; spoke” model for LNG satellite stations &amp; distribution is under implementation. </w:t>
      </w:r>
      <w:r w:rsidR="00151CEB">
        <w:t>This has become facilitator for “Natural gas available everywhere” and “Natural Gas for sustainable development” which is in line with IGU’s Trie</w:t>
      </w:r>
      <w:r w:rsidR="00BB3288">
        <w:t>nnial Work Programme 2012-2015.</w:t>
      </w:r>
    </w:p>
    <w:p w:rsidR="006D41E4" w:rsidRDefault="006D41E4" w:rsidP="004B7209">
      <w:pPr>
        <w:spacing w:after="0" w:line="288" w:lineRule="auto"/>
        <w:jc w:val="both"/>
      </w:pPr>
    </w:p>
    <w:p w:rsidR="006D41E4" w:rsidRDefault="006D41E4" w:rsidP="004B7209">
      <w:pPr>
        <w:spacing w:after="0" w:line="288" w:lineRule="auto"/>
        <w:jc w:val="both"/>
      </w:pPr>
      <w:r>
        <w:t xml:space="preserve">Floating storage unit is also under implementation and it is expected that the same would be commissioned by 2014 end. </w:t>
      </w:r>
    </w:p>
    <w:p w:rsidR="002B5D48" w:rsidRPr="002B5D48" w:rsidRDefault="002B5D48" w:rsidP="00CE03D8">
      <w:pPr>
        <w:spacing w:before="100" w:beforeAutospacing="1" w:after="100" w:afterAutospacing="1"/>
        <w:rPr>
          <w:b/>
          <w:sz w:val="24"/>
          <w:szCs w:val="24"/>
        </w:rPr>
      </w:pPr>
      <w:r w:rsidRPr="002B5D48">
        <w:rPr>
          <w:b/>
          <w:sz w:val="24"/>
          <w:szCs w:val="24"/>
        </w:rPr>
        <w:t>Japan</w:t>
      </w:r>
    </w:p>
    <w:p w:rsidR="002B5D48" w:rsidRDefault="002B5D48" w:rsidP="00CE03D8">
      <w:pPr>
        <w:spacing w:before="100" w:beforeAutospacing="1" w:after="100" w:afterAutospacing="1"/>
      </w:pPr>
      <w:r>
        <w:t>To be provided by Yukiko.</w:t>
      </w:r>
    </w:p>
    <w:p w:rsidR="002B5D48" w:rsidRDefault="002B5D48" w:rsidP="00CE03D8">
      <w:pPr>
        <w:spacing w:before="100" w:beforeAutospacing="1" w:after="100" w:afterAutospacing="1"/>
      </w:pPr>
    </w:p>
    <w:p w:rsidR="000A1252" w:rsidRDefault="000A1252" w:rsidP="00CE03D8">
      <w:pPr>
        <w:spacing w:before="100" w:beforeAutospacing="1" w:after="100" w:afterAutospacing="1"/>
      </w:pPr>
    </w:p>
    <w:p w:rsidR="000A1252" w:rsidRDefault="000A1252" w:rsidP="00CE03D8">
      <w:pPr>
        <w:spacing w:before="100" w:beforeAutospacing="1" w:after="100" w:afterAutospacing="1"/>
      </w:pPr>
    </w:p>
    <w:p w:rsidR="002B5D48" w:rsidRPr="002B5D48" w:rsidRDefault="002B5D48" w:rsidP="00CE03D8">
      <w:pPr>
        <w:spacing w:before="100" w:beforeAutospacing="1" w:after="100" w:afterAutospacing="1"/>
        <w:rPr>
          <w:b/>
          <w:sz w:val="24"/>
          <w:szCs w:val="24"/>
        </w:rPr>
      </w:pPr>
      <w:r w:rsidRPr="002B5D48">
        <w:rPr>
          <w:b/>
          <w:sz w:val="24"/>
          <w:szCs w:val="24"/>
        </w:rPr>
        <w:t>Malaysia</w:t>
      </w:r>
    </w:p>
    <w:p w:rsidR="002B5D48" w:rsidRDefault="002B5D48" w:rsidP="002B5D48">
      <w:pPr>
        <w:spacing w:before="100" w:beforeAutospacing="1" w:after="100" w:afterAutospacing="1"/>
      </w:pPr>
      <w:r>
        <w:t xml:space="preserve">The world’s first small scale floating LNG </w:t>
      </w:r>
      <w:r w:rsidR="009D3106">
        <w:t xml:space="preserve">(FLNG) </w:t>
      </w:r>
      <w:r>
        <w:t>facility is currently being constructed by Petronas. The liquefaction vessel will have a capacity of 1.2 MTPA scheduled for deployment in 2015. It was sanctioned in March 2012.</w:t>
      </w:r>
      <w:r w:rsidR="009D3106">
        <w:t xml:space="preserve"> Actually this project is beyond the liquefaction capacity limit for this report. However as it is the only sanctioned FLNG development in the range of</w:t>
      </w:r>
      <w:r w:rsidR="00313C86">
        <w:t xml:space="preserve"> 1mtpa or less it is further described afterwards.</w:t>
      </w:r>
    </w:p>
    <w:p w:rsidR="002B5D48" w:rsidRDefault="002B5D48" w:rsidP="002B5D48">
      <w:pPr>
        <w:spacing w:before="100" w:beforeAutospacing="1" w:after="100" w:afterAutospacing="1"/>
      </w:pPr>
      <w:r>
        <w:t>It is expected to operate at Kanowit gas field,180 km offshore Bintulu. The Kanowit field is shallow (around 78 m) and benign which reduces shutdowns and delays due to weather. The resource is also situated in well-known basin.The Kanowit field has already been partially developed via a platform complex connected to the MLNG facility.</w:t>
      </w:r>
    </w:p>
    <w:p w:rsidR="002B5D48" w:rsidRDefault="002B5D48" w:rsidP="002B5D48">
      <w:pPr>
        <w:spacing w:before="100" w:beforeAutospacing="1" w:after="100" w:afterAutospacing="1"/>
      </w:pPr>
      <w:r>
        <w:t>The EPCIC (engineering, procurement, construction, installation and commissioning) contract was awarded to a Technip and DSME (Daewoo Shipbuilding and Marine Engineering) consortium in June 2012. First steel was cut at DSME’s shipyard at South Korea in June 2013.The project could be ready for start-up by quarter 2, 2015.</w:t>
      </w:r>
    </w:p>
    <w:p w:rsidR="002B5D48" w:rsidRDefault="002B5D48" w:rsidP="002B5D48">
      <w:pPr>
        <w:spacing w:before="100" w:beforeAutospacing="1" w:after="100" w:afterAutospacing="1"/>
      </w:pPr>
      <w:r>
        <w:t xml:space="preserve">The main driver for this project is to monetise stranded and marginal fields which may otherwise not be developed. The application of FLNG would unlock new resources as the vessel can be deployed to other stranded fields elsewhere. </w:t>
      </w:r>
    </w:p>
    <w:p w:rsidR="003A2D43" w:rsidRPr="003A2D43" w:rsidRDefault="003A2D43" w:rsidP="00CE03D8">
      <w:pPr>
        <w:spacing w:before="100" w:beforeAutospacing="1" w:after="100" w:afterAutospacing="1"/>
        <w:rPr>
          <w:b/>
          <w:sz w:val="24"/>
          <w:szCs w:val="24"/>
        </w:rPr>
      </w:pPr>
      <w:r w:rsidRPr="003A2D43">
        <w:rPr>
          <w:b/>
          <w:sz w:val="24"/>
          <w:szCs w:val="24"/>
        </w:rPr>
        <w:t>Thailand</w:t>
      </w:r>
    </w:p>
    <w:p w:rsidR="00164363" w:rsidRDefault="002745B1" w:rsidP="000558B6">
      <w:pPr>
        <w:spacing w:before="100" w:beforeAutospacing="1" w:after="100" w:afterAutospacing="1"/>
      </w:pPr>
      <w:r w:rsidRPr="002745B1">
        <w:t xml:space="preserve">PTT, PTTEP, Siam Company Limited and the Department of Mineral Fuels initiated </w:t>
      </w:r>
      <w:r>
        <w:t xml:space="preserve">a small scale LNG demonstration </w:t>
      </w:r>
      <w:r w:rsidRPr="002745B1">
        <w:t xml:space="preserve">project aiming </w:t>
      </w:r>
      <w:r w:rsidR="000558B6">
        <w:t xml:space="preserve">at </w:t>
      </w:r>
      <w:r w:rsidRPr="002745B1">
        <w:t>creat</w:t>
      </w:r>
      <w:r w:rsidR="000558B6">
        <w:t>ing</w:t>
      </w:r>
      <w:r w:rsidRPr="002745B1">
        <w:t xml:space="preserve"> added </w:t>
      </w:r>
      <w:r w:rsidR="000558B6">
        <w:t xml:space="preserve">value </w:t>
      </w:r>
      <w:r w:rsidRPr="002745B1">
        <w:t>to associated gas, a by-product from crude oil production.  The associated gas</w:t>
      </w:r>
      <w:r>
        <w:t>,</w:t>
      </w:r>
      <w:r w:rsidR="000558B6">
        <w:t xml:space="preserve"> </w:t>
      </w:r>
      <w:r w:rsidRPr="002745B1">
        <w:t xml:space="preserve">normally disposed by burning, </w:t>
      </w:r>
      <w:r w:rsidR="000558B6">
        <w:t>is</w:t>
      </w:r>
      <w:r w:rsidRPr="002745B1">
        <w:t xml:space="preserve"> sent to </w:t>
      </w:r>
      <w:r w:rsidR="000558B6">
        <w:t xml:space="preserve">a </w:t>
      </w:r>
      <w:r w:rsidRPr="002745B1">
        <w:t xml:space="preserve">small scale LNG </w:t>
      </w:r>
      <w:r w:rsidRPr="002745B1">
        <w:lastRenderedPageBreak/>
        <w:t>production</w:t>
      </w:r>
      <w:r w:rsidR="000558B6">
        <w:t xml:space="preserve"> facility</w:t>
      </w:r>
      <w:r w:rsidRPr="002745B1">
        <w:t>.</w:t>
      </w:r>
      <w:r w:rsidR="000558B6">
        <w:t xml:space="preserve"> The LNG product from the liquefaction plant </w:t>
      </w:r>
      <w:r w:rsidR="00164363">
        <w:t xml:space="preserve">with </w:t>
      </w:r>
      <w:r w:rsidR="000558B6">
        <w:t xml:space="preserve">a </w:t>
      </w:r>
      <w:r w:rsidR="00164363">
        <w:t xml:space="preserve">capacity </w:t>
      </w:r>
      <w:r w:rsidR="000558B6">
        <w:t xml:space="preserve">of </w:t>
      </w:r>
      <w:r w:rsidR="00164363">
        <w:t xml:space="preserve">18 </w:t>
      </w:r>
      <w:r w:rsidR="000558B6">
        <w:t>tpd is</w:t>
      </w:r>
      <w:r w:rsidR="00164363">
        <w:t xml:space="preserve"> utilized as </w:t>
      </w:r>
      <w:r w:rsidR="000558B6">
        <w:t>fuel</w:t>
      </w:r>
      <w:r w:rsidR="00164363">
        <w:t xml:space="preserve"> for canal taxies, </w:t>
      </w:r>
      <w:r w:rsidR="000558B6">
        <w:t xml:space="preserve">feedstock </w:t>
      </w:r>
      <w:r w:rsidR="00164363">
        <w:t xml:space="preserve">for </w:t>
      </w:r>
      <w:r w:rsidR="000558B6">
        <w:t xml:space="preserve">a </w:t>
      </w:r>
      <w:r w:rsidR="00164363">
        <w:t xml:space="preserve">LCNG station and for </w:t>
      </w:r>
      <w:r w:rsidR="000558B6">
        <w:t>a r</w:t>
      </w:r>
      <w:r w:rsidR="00164363">
        <w:t xml:space="preserve">ubber </w:t>
      </w:r>
      <w:r w:rsidR="000558B6">
        <w:t>l</w:t>
      </w:r>
      <w:r w:rsidR="00164363">
        <w:t>atex factory.</w:t>
      </w:r>
    </w:p>
    <w:p w:rsidR="00164363" w:rsidRDefault="00164363" w:rsidP="00164363">
      <w:pPr>
        <w:spacing w:before="100" w:beforeAutospacing="1" w:after="100" w:afterAutospacing="1"/>
      </w:pPr>
      <w:r>
        <w:t>LNG for Canal Taxies: PTT and Krobkrua Khonsong (2002) Company Limited, a canal taxi provider on Saen Saeb canal, have initiated the LNG pilot project in canal taxies.  Currently 28 boats have been installed completely with LNG/Diesel conversion equipment and another 2 boats have been used 100% LNG as fuel</w:t>
      </w:r>
    </w:p>
    <w:p w:rsidR="00164363" w:rsidRDefault="00164363" w:rsidP="00164363">
      <w:pPr>
        <w:spacing w:before="100" w:beforeAutospacing="1" w:after="100" w:afterAutospacing="1"/>
      </w:pPr>
      <w:r>
        <w:t>LNG for LCNG station: The objective of this pilot project to introduce LCNG station in Remote area, reduce NGV operating cost, saving transportation cost and electrical cost.  The station is located at Amphor Sarapee, Chiengmai with operating capacity 6-7 TPD</w:t>
      </w:r>
    </w:p>
    <w:p w:rsidR="003A2D43" w:rsidRDefault="00164363" w:rsidP="00164363">
      <w:pPr>
        <w:spacing w:before="100" w:beforeAutospacing="1" w:after="100" w:afterAutospacing="1"/>
      </w:pPr>
      <w:r>
        <w:t>LNG for Rubber Latex factory: LNG is used as a fuel for heating in rubber latex factory to substitute diesel.  They used LNG, with capacity 1.5 TPD, in the rubber oven for heating concentrated latex that will then be raw material in automotive industry.</w:t>
      </w:r>
    </w:p>
    <w:p w:rsidR="00164363" w:rsidRDefault="00164363" w:rsidP="00CE03D8">
      <w:pPr>
        <w:spacing w:before="100" w:beforeAutospacing="1" w:after="100" w:afterAutospacing="1"/>
      </w:pPr>
    </w:p>
    <w:p w:rsidR="000A1252" w:rsidRPr="003A2D43" w:rsidRDefault="000A1252" w:rsidP="00CE03D8">
      <w:pPr>
        <w:spacing w:before="100" w:beforeAutospacing="1" w:after="100" w:afterAutospacing="1"/>
      </w:pPr>
    </w:p>
    <w:p w:rsidR="0079415F" w:rsidRPr="0079415F" w:rsidRDefault="0079415F" w:rsidP="0079415F">
      <w:pPr>
        <w:pStyle w:val="Heading1"/>
        <w:rPr>
          <w:lang w:val="en-US"/>
        </w:rPr>
      </w:pPr>
      <w:bookmarkStart w:id="5" w:name="_Toc369857021"/>
      <w:r w:rsidRPr="0079415F">
        <w:rPr>
          <w:lang w:val="en-US"/>
        </w:rPr>
        <w:t>Safety, standards and regulations</w:t>
      </w:r>
      <w:bookmarkEnd w:id="5"/>
    </w:p>
    <w:p w:rsidR="00010961" w:rsidRDefault="00010961" w:rsidP="0049197B"/>
    <w:p w:rsidR="00010961" w:rsidRPr="00010961" w:rsidRDefault="00010961" w:rsidP="00010961">
      <w:pPr>
        <w:jc w:val="both"/>
        <w:rPr>
          <w:bCs/>
          <w:i/>
          <w:color w:val="000000" w:themeColor="text1"/>
          <w:sz w:val="24"/>
          <w:szCs w:val="24"/>
        </w:rPr>
      </w:pPr>
      <w:r w:rsidRPr="00010961">
        <w:rPr>
          <w:bCs/>
          <w:i/>
          <w:color w:val="000000" w:themeColor="text1"/>
          <w:sz w:val="24"/>
          <w:szCs w:val="24"/>
        </w:rPr>
        <w:t xml:space="preserve">Where possible, highlight the characteristics of standards, safety and regulations specifically applicable to small scale LNG, emphasising differences with the large scale LNG sector. </w:t>
      </w:r>
      <w:r>
        <w:rPr>
          <w:bCs/>
          <w:i/>
          <w:color w:val="000000" w:themeColor="text1"/>
          <w:sz w:val="24"/>
          <w:szCs w:val="24"/>
        </w:rPr>
        <w:t>E.g.</w:t>
      </w:r>
    </w:p>
    <w:p w:rsidR="00010961" w:rsidRDefault="00010961" w:rsidP="00010961">
      <w:pPr>
        <w:pStyle w:val="ListParagraph"/>
        <w:numPr>
          <w:ilvl w:val="0"/>
          <w:numId w:val="43"/>
        </w:numPr>
        <w:jc w:val="both"/>
        <w:rPr>
          <w:bCs/>
          <w:i/>
          <w:color w:val="000000" w:themeColor="text1"/>
          <w:sz w:val="24"/>
          <w:szCs w:val="24"/>
        </w:rPr>
      </w:pPr>
      <w:r>
        <w:rPr>
          <w:bCs/>
          <w:i/>
          <w:color w:val="000000" w:themeColor="text1"/>
          <w:sz w:val="24"/>
          <w:szCs w:val="24"/>
        </w:rPr>
        <w:t xml:space="preserve">Small Scale </w:t>
      </w:r>
      <w:r w:rsidRPr="00010961">
        <w:rPr>
          <w:bCs/>
          <w:i/>
          <w:color w:val="000000" w:themeColor="text1"/>
          <w:sz w:val="24"/>
          <w:szCs w:val="24"/>
        </w:rPr>
        <w:t>LNG is more locally driven than the inherently global large scale market. What is the impact on this? Any examples available?</w:t>
      </w:r>
    </w:p>
    <w:p w:rsidR="00010961" w:rsidRDefault="000356E3" w:rsidP="00010961">
      <w:pPr>
        <w:pStyle w:val="ListParagraph"/>
        <w:numPr>
          <w:ilvl w:val="0"/>
          <w:numId w:val="43"/>
        </w:numPr>
        <w:jc w:val="both"/>
        <w:rPr>
          <w:bCs/>
          <w:i/>
          <w:color w:val="000000" w:themeColor="text1"/>
          <w:sz w:val="24"/>
          <w:szCs w:val="24"/>
        </w:rPr>
      </w:pPr>
      <w:r>
        <w:rPr>
          <w:bCs/>
          <w:i/>
          <w:color w:val="000000" w:themeColor="text1"/>
          <w:sz w:val="24"/>
          <w:szCs w:val="24"/>
        </w:rPr>
        <w:t>Although Small Scale LNG shall be as safe as large scale, but as the implementation will be different</w:t>
      </w:r>
    </w:p>
    <w:p w:rsidR="000356E3" w:rsidRPr="00010961" w:rsidRDefault="000356E3" w:rsidP="00010961">
      <w:pPr>
        <w:pStyle w:val="ListParagraph"/>
        <w:numPr>
          <w:ilvl w:val="0"/>
          <w:numId w:val="43"/>
        </w:numPr>
        <w:jc w:val="both"/>
        <w:rPr>
          <w:bCs/>
          <w:i/>
          <w:color w:val="000000" w:themeColor="text1"/>
          <w:sz w:val="24"/>
          <w:szCs w:val="24"/>
        </w:rPr>
      </w:pPr>
      <w:r>
        <w:rPr>
          <w:bCs/>
          <w:i/>
          <w:color w:val="000000" w:themeColor="text1"/>
          <w:sz w:val="24"/>
          <w:szCs w:val="24"/>
        </w:rPr>
        <w:t>Environmental and emission regulations will have an impact on driving the demand for small scale LNG projects. Examples?</w:t>
      </w:r>
    </w:p>
    <w:p w:rsidR="00010961" w:rsidRPr="0049197B" w:rsidRDefault="00010961" w:rsidP="0049197B"/>
    <w:p w:rsidR="00010961" w:rsidRDefault="002D50F3" w:rsidP="00554F95">
      <w:pPr>
        <w:jc w:val="both"/>
        <w:rPr>
          <w:bCs/>
          <w:i/>
          <w:color w:val="000000" w:themeColor="text1"/>
          <w:sz w:val="24"/>
          <w:szCs w:val="24"/>
        </w:rPr>
      </w:pPr>
      <w:r w:rsidRPr="002D50F3">
        <w:rPr>
          <w:bCs/>
          <w:i/>
          <w:color w:val="000000" w:themeColor="text1"/>
          <w:sz w:val="24"/>
          <w:szCs w:val="24"/>
        </w:rPr>
        <w:t xml:space="preserve">In this section, </w:t>
      </w:r>
      <w:r>
        <w:rPr>
          <w:bCs/>
          <w:i/>
          <w:color w:val="000000" w:themeColor="text1"/>
          <w:sz w:val="24"/>
          <w:szCs w:val="24"/>
        </w:rPr>
        <w:t xml:space="preserve">please </w:t>
      </w:r>
      <w:r w:rsidR="00010961">
        <w:rPr>
          <w:bCs/>
          <w:i/>
          <w:color w:val="000000" w:themeColor="text1"/>
          <w:sz w:val="24"/>
          <w:szCs w:val="24"/>
        </w:rPr>
        <w:t xml:space="preserve">refer to standards and regulation applicable specifically to small scale LNG. </w:t>
      </w:r>
    </w:p>
    <w:p w:rsidR="000356E3" w:rsidRDefault="000356E3" w:rsidP="00554F95">
      <w:pPr>
        <w:jc w:val="both"/>
        <w:rPr>
          <w:bCs/>
          <w:i/>
          <w:color w:val="000000" w:themeColor="text1"/>
          <w:sz w:val="24"/>
          <w:szCs w:val="24"/>
        </w:rPr>
      </w:pPr>
      <w:r>
        <w:rPr>
          <w:bCs/>
          <w:i/>
          <w:color w:val="000000" w:themeColor="text1"/>
          <w:sz w:val="24"/>
          <w:szCs w:val="24"/>
        </w:rPr>
        <w:t>Other guideline questions:</w:t>
      </w:r>
    </w:p>
    <w:p w:rsidR="000356E3" w:rsidRDefault="000356E3" w:rsidP="00554F95">
      <w:pPr>
        <w:jc w:val="both"/>
        <w:rPr>
          <w:bCs/>
          <w:i/>
          <w:color w:val="000000" w:themeColor="text1"/>
          <w:sz w:val="24"/>
          <w:szCs w:val="24"/>
        </w:rPr>
      </w:pPr>
    </w:p>
    <w:p w:rsidR="0079436E" w:rsidRPr="0079436E" w:rsidRDefault="0079436E" w:rsidP="0079436E">
      <w:pPr>
        <w:numPr>
          <w:ilvl w:val="0"/>
          <w:numId w:val="44"/>
        </w:numPr>
        <w:jc w:val="both"/>
        <w:rPr>
          <w:bCs/>
          <w:i/>
          <w:color w:val="000000" w:themeColor="text1"/>
          <w:sz w:val="24"/>
          <w:szCs w:val="24"/>
          <w:lang w:val="en-US"/>
        </w:rPr>
      </w:pPr>
      <w:r w:rsidRPr="0079436E">
        <w:rPr>
          <w:bCs/>
          <w:i/>
          <w:color w:val="000000" w:themeColor="text1"/>
          <w:sz w:val="24"/>
          <w:szCs w:val="24"/>
          <w:lang w:val="en-US"/>
        </w:rPr>
        <w:t>Which are the standards and regulations adopted in the area?</w:t>
      </w:r>
    </w:p>
    <w:p w:rsidR="0079436E" w:rsidRPr="0079436E" w:rsidRDefault="0079436E" w:rsidP="0079436E">
      <w:pPr>
        <w:numPr>
          <w:ilvl w:val="0"/>
          <w:numId w:val="44"/>
        </w:numPr>
        <w:jc w:val="both"/>
        <w:rPr>
          <w:bCs/>
          <w:i/>
          <w:color w:val="000000" w:themeColor="text1"/>
          <w:sz w:val="24"/>
          <w:szCs w:val="24"/>
          <w:lang w:val="en-US"/>
        </w:rPr>
      </w:pPr>
      <w:r w:rsidRPr="0079436E">
        <w:rPr>
          <w:bCs/>
          <w:i/>
          <w:color w:val="000000" w:themeColor="text1"/>
          <w:sz w:val="24"/>
          <w:szCs w:val="24"/>
          <w:lang w:val="en-US"/>
        </w:rPr>
        <w:t xml:space="preserve"> Who are the responsible parties?</w:t>
      </w:r>
    </w:p>
    <w:p w:rsidR="0079436E" w:rsidRPr="0079436E" w:rsidRDefault="0079436E" w:rsidP="0079436E">
      <w:pPr>
        <w:numPr>
          <w:ilvl w:val="0"/>
          <w:numId w:val="44"/>
        </w:numPr>
        <w:jc w:val="both"/>
        <w:rPr>
          <w:bCs/>
          <w:i/>
          <w:color w:val="000000" w:themeColor="text1"/>
          <w:sz w:val="24"/>
          <w:szCs w:val="24"/>
          <w:lang w:val="en-US"/>
        </w:rPr>
      </w:pPr>
      <w:r w:rsidRPr="0079436E">
        <w:rPr>
          <w:bCs/>
          <w:i/>
          <w:color w:val="000000" w:themeColor="text1"/>
          <w:sz w:val="24"/>
          <w:szCs w:val="24"/>
          <w:lang w:val="en-US"/>
        </w:rPr>
        <w:t xml:space="preserve"> If a regulatory framework is defined, how does it compare to the rest of the world? Are there links with other regions? </w:t>
      </w:r>
    </w:p>
    <w:p w:rsidR="0079436E" w:rsidRDefault="0079436E" w:rsidP="0079436E">
      <w:pPr>
        <w:numPr>
          <w:ilvl w:val="0"/>
          <w:numId w:val="44"/>
        </w:numPr>
        <w:jc w:val="both"/>
        <w:rPr>
          <w:bCs/>
          <w:i/>
          <w:color w:val="000000" w:themeColor="text1"/>
          <w:sz w:val="24"/>
          <w:szCs w:val="24"/>
          <w:lang w:val="en-US"/>
        </w:rPr>
      </w:pPr>
      <w:r w:rsidRPr="0079436E">
        <w:rPr>
          <w:bCs/>
          <w:i/>
          <w:color w:val="000000" w:themeColor="text1"/>
          <w:sz w:val="24"/>
          <w:szCs w:val="24"/>
          <w:lang w:val="en-US"/>
        </w:rPr>
        <w:lastRenderedPageBreak/>
        <w:t xml:space="preserve"> Is the statutory status developing or stagnant? Which are the ongoing discussions in the area? </w:t>
      </w:r>
    </w:p>
    <w:p w:rsidR="00164363" w:rsidRDefault="00164363" w:rsidP="00164363">
      <w:pPr>
        <w:jc w:val="both"/>
        <w:rPr>
          <w:bCs/>
          <w:i/>
          <w:color w:val="000000" w:themeColor="text1"/>
          <w:sz w:val="24"/>
          <w:szCs w:val="24"/>
        </w:rPr>
      </w:pPr>
    </w:p>
    <w:p w:rsidR="00164363" w:rsidRPr="00164363" w:rsidRDefault="00164363" w:rsidP="00164363">
      <w:pPr>
        <w:jc w:val="both"/>
        <w:rPr>
          <w:b/>
          <w:bCs/>
          <w:color w:val="000000" w:themeColor="text1"/>
          <w:sz w:val="24"/>
          <w:szCs w:val="24"/>
        </w:rPr>
      </w:pPr>
      <w:r w:rsidRPr="00164363">
        <w:rPr>
          <w:b/>
          <w:bCs/>
          <w:color w:val="000000" w:themeColor="text1"/>
          <w:sz w:val="24"/>
          <w:szCs w:val="24"/>
        </w:rPr>
        <w:t>Thailand:</w:t>
      </w:r>
    </w:p>
    <w:p w:rsidR="00164363" w:rsidRPr="00164363" w:rsidRDefault="00164363" w:rsidP="00164363">
      <w:pPr>
        <w:jc w:val="both"/>
        <w:rPr>
          <w:bCs/>
          <w:color w:val="000000" w:themeColor="text1"/>
        </w:rPr>
      </w:pPr>
      <w:r w:rsidRPr="00164363">
        <w:rPr>
          <w:bCs/>
          <w:color w:val="000000" w:themeColor="text1"/>
        </w:rPr>
        <w:t>Even the Small Scale LNG project was set up on purpose to create value added to associate gas but the safety, standard and regulation are still based on international standard and operate under Thai government regulation.</w:t>
      </w:r>
    </w:p>
    <w:p w:rsidR="00164363" w:rsidRPr="00164363" w:rsidRDefault="00164363" w:rsidP="00164363">
      <w:pPr>
        <w:jc w:val="both"/>
        <w:rPr>
          <w:bCs/>
          <w:i/>
          <w:color w:val="000000" w:themeColor="text1"/>
          <w:sz w:val="24"/>
          <w:szCs w:val="24"/>
        </w:rPr>
      </w:pPr>
    </w:p>
    <w:p w:rsidR="00CD0BE4" w:rsidRDefault="0079436E" w:rsidP="0079436E">
      <w:pPr>
        <w:pStyle w:val="Heading1"/>
        <w:rPr>
          <w:lang w:val="en-US"/>
        </w:rPr>
      </w:pPr>
      <w:bookmarkStart w:id="6" w:name="_Ref317680335"/>
      <w:r>
        <w:rPr>
          <w:lang w:val="en-US"/>
        </w:rPr>
        <w:t>Conclusions</w:t>
      </w:r>
    </w:p>
    <w:p w:rsidR="0079436E" w:rsidRPr="0079436E" w:rsidRDefault="0079436E" w:rsidP="0079436E">
      <w:pPr>
        <w:rPr>
          <w:b/>
          <w:bCs/>
          <w:i/>
          <w:sz w:val="24"/>
        </w:rPr>
      </w:pPr>
    </w:p>
    <w:p w:rsidR="0079436E" w:rsidRPr="0079436E" w:rsidRDefault="0079436E" w:rsidP="0079436E">
      <w:pPr>
        <w:numPr>
          <w:ilvl w:val="0"/>
          <w:numId w:val="45"/>
        </w:numPr>
        <w:rPr>
          <w:i/>
          <w:sz w:val="24"/>
          <w:lang w:val="en-US"/>
        </w:rPr>
      </w:pPr>
      <w:r w:rsidRPr="0079436E">
        <w:rPr>
          <w:i/>
          <w:sz w:val="24"/>
          <w:lang w:val="en-US"/>
        </w:rPr>
        <w:t>Overall status of small scale LNG in the areas</w:t>
      </w:r>
    </w:p>
    <w:p w:rsidR="0079436E" w:rsidRPr="0079436E" w:rsidRDefault="0079436E" w:rsidP="0079436E">
      <w:pPr>
        <w:numPr>
          <w:ilvl w:val="0"/>
          <w:numId w:val="45"/>
        </w:numPr>
        <w:rPr>
          <w:i/>
          <w:sz w:val="24"/>
          <w:lang w:val="en-US"/>
        </w:rPr>
      </w:pPr>
      <w:r w:rsidRPr="0079436E">
        <w:rPr>
          <w:i/>
          <w:sz w:val="24"/>
          <w:lang w:val="en-US"/>
        </w:rPr>
        <w:t xml:space="preserve"> Major drivers, major challenges</w:t>
      </w:r>
    </w:p>
    <w:p w:rsidR="0079436E" w:rsidRPr="0079436E" w:rsidRDefault="0079436E" w:rsidP="0079436E">
      <w:pPr>
        <w:numPr>
          <w:ilvl w:val="0"/>
          <w:numId w:val="45"/>
        </w:numPr>
        <w:rPr>
          <w:i/>
          <w:sz w:val="24"/>
          <w:lang w:val="en-US"/>
        </w:rPr>
      </w:pPr>
      <w:r w:rsidRPr="0079436E">
        <w:rPr>
          <w:i/>
          <w:sz w:val="24"/>
          <w:lang w:val="en-US"/>
        </w:rPr>
        <w:t xml:space="preserve"> Outlook on the area</w:t>
      </w:r>
    </w:p>
    <w:p w:rsidR="0079436E" w:rsidRPr="0079436E" w:rsidRDefault="0079436E" w:rsidP="0079436E">
      <w:pPr>
        <w:rPr>
          <w:lang w:val="en-US"/>
        </w:rPr>
        <w:sectPr w:rsidR="0079436E" w:rsidRPr="0079436E" w:rsidSect="00A3189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pPr>
    </w:p>
    <w:p w:rsidR="00691A2E" w:rsidRDefault="00691A2E" w:rsidP="00691A2E">
      <w:pPr>
        <w:pStyle w:val="AppendixHeading"/>
        <w:rPr>
          <w:lang w:val="en-US"/>
        </w:rPr>
      </w:pPr>
      <w:bookmarkStart w:id="7" w:name="_Toc369857022"/>
      <w:bookmarkEnd w:id="6"/>
      <w:r>
        <w:rPr>
          <w:lang w:val="en-US"/>
        </w:rPr>
        <w:lastRenderedPageBreak/>
        <w:t>Data Collection from the Regions</w:t>
      </w:r>
      <w:bookmarkEnd w:id="7"/>
    </w:p>
    <w:p w:rsidR="00691A2E" w:rsidRPr="00691A2E" w:rsidRDefault="0079436E" w:rsidP="00691A2E">
      <w:pPr>
        <w:rPr>
          <w:lang w:val="en-US" w:eastAsia="nl-NL"/>
        </w:rPr>
      </w:pPr>
      <w:r>
        <w:rPr>
          <w:lang w:val="en-US" w:eastAsia="nl-NL"/>
        </w:rPr>
        <w:t>Please include the excel data collection template</w:t>
      </w:r>
    </w:p>
    <w:p w:rsidR="00691A2E" w:rsidRDefault="00691A2E" w:rsidP="00691A2E">
      <w:pPr>
        <w:pStyle w:val="AppendixHeading"/>
        <w:rPr>
          <w:lang w:val="en-US"/>
        </w:rPr>
      </w:pPr>
      <w:bookmarkStart w:id="8" w:name="_Toc369857023"/>
      <w:r>
        <w:rPr>
          <w:lang w:val="en-US"/>
        </w:rPr>
        <w:lastRenderedPageBreak/>
        <w:t>Small Scale LNG : Drivers and Business Models</w:t>
      </w:r>
      <w:bookmarkEnd w:id="8"/>
    </w:p>
    <w:tbl>
      <w:tblPr>
        <w:tblW w:w="14756" w:type="dxa"/>
        <w:tblInd w:w="-34" w:type="dxa"/>
        <w:tblLayout w:type="fixed"/>
        <w:tblLook w:val="04A0"/>
      </w:tblPr>
      <w:tblGrid>
        <w:gridCol w:w="2141"/>
        <w:gridCol w:w="2693"/>
        <w:gridCol w:w="1701"/>
        <w:gridCol w:w="2112"/>
        <w:gridCol w:w="2977"/>
        <w:gridCol w:w="3132"/>
      </w:tblGrid>
      <w:tr w:rsidR="00987867" w:rsidRPr="00987867" w:rsidTr="00987867">
        <w:trPr>
          <w:trHeight w:val="540"/>
        </w:trPr>
        <w:tc>
          <w:tcPr>
            <w:tcW w:w="2141" w:type="dxa"/>
            <w:tcBorders>
              <w:top w:val="single" w:sz="8" w:space="0" w:color="FFFFFF"/>
              <w:left w:val="single" w:sz="8" w:space="0" w:color="FFFFFF"/>
              <w:bottom w:val="single" w:sz="12" w:space="0" w:color="FFFFFF"/>
              <w:right w:val="single" w:sz="8" w:space="0" w:color="FFFFFF"/>
            </w:tcBorders>
            <w:shd w:val="clear" w:color="000000" w:fill="F7D117"/>
            <w:vAlign w:val="center"/>
            <w:hideMark/>
          </w:tcPr>
          <w:p w:rsidR="00987867" w:rsidRPr="00987867" w:rsidRDefault="00987867" w:rsidP="00987867">
            <w:pPr>
              <w:spacing w:after="0"/>
              <w:ind w:left="601" w:hanging="601"/>
              <w:rPr>
                <w:rFonts w:ascii="Futura Medium" w:eastAsia="Times New Roman" w:hAnsi="Futura Medium" w:cs="Calibri"/>
                <w:b/>
                <w:bCs/>
                <w:color w:val="003882"/>
                <w:sz w:val="24"/>
                <w:szCs w:val="24"/>
                <w:lang w:val="en-US"/>
              </w:rPr>
            </w:pPr>
            <w:r w:rsidRPr="00987867">
              <w:rPr>
                <w:rFonts w:ascii="Futura Medium" w:eastAsia="Times New Roman" w:hAnsi="Futura Medium" w:cs="Calibri"/>
                <w:b/>
                <w:bCs/>
                <w:color w:val="003882"/>
                <w:sz w:val="24"/>
                <w:szCs w:val="24"/>
                <w:lang w:val="en-US"/>
              </w:rPr>
              <w:t xml:space="preserve">Type of Project </w:t>
            </w:r>
          </w:p>
        </w:tc>
        <w:tc>
          <w:tcPr>
            <w:tcW w:w="2693" w:type="dxa"/>
            <w:tcBorders>
              <w:top w:val="single" w:sz="8" w:space="0" w:color="FFFFFF"/>
              <w:left w:val="nil"/>
              <w:bottom w:val="single" w:sz="12" w:space="0" w:color="FFFFFF"/>
              <w:right w:val="single" w:sz="8" w:space="0" w:color="FFFFFF"/>
            </w:tcBorders>
            <w:shd w:val="clear" w:color="000000" w:fill="F7D117"/>
            <w:hideMark/>
          </w:tcPr>
          <w:p w:rsidR="00987867" w:rsidRPr="00987867" w:rsidRDefault="00987867" w:rsidP="00987867">
            <w:pPr>
              <w:spacing w:after="0"/>
              <w:rPr>
                <w:rFonts w:ascii="Futura Medium" w:eastAsia="Times New Roman" w:hAnsi="Futura Medium" w:cs="Calibri"/>
                <w:b/>
                <w:bCs/>
                <w:color w:val="0F253F"/>
                <w:sz w:val="24"/>
                <w:szCs w:val="24"/>
                <w:lang w:val="en-US"/>
              </w:rPr>
            </w:pPr>
            <w:r w:rsidRPr="00987867">
              <w:rPr>
                <w:rFonts w:ascii="Futura Medium" w:eastAsia="Times New Roman" w:hAnsi="Futura Medium" w:cs="Calibri"/>
                <w:b/>
                <w:bCs/>
                <w:color w:val="0F253F"/>
                <w:sz w:val="24"/>
                <w:szCs w:val="24"/>
                <w:lang w:val="en-US"/>
              </w:rPr>
              <w:t xml:space="preserve">Definition </w:t>
            </w:r>
          </w:p>
        </w:tc>
        <w:tc>
          <w:tcPr>
            <w:tcW w:w="1701" w:type="dxa"/>
            <w:tcBorders>
              <w:top w:val="single" w:sz="8" w:space="0" w:color="FFFFFF"/>
              <w:left w:val="nil"/>
              <w:bottom w:val="single" w:sz="12" w:space="0" w:color="FFFFFF"/>
              <w:right w:val="single" w:sz="8" w:space="0" w:color="FFFFFF"/>
            </w:tcBorders>
            <w:shd w:val="clear" w:color="000000" w:fill="F7D117"/>
            <w:hideMark/>
          </w:tcPr>
          <w:p w:rsidR="00987867" w:rsidRPr="00987867" w:rsidRDefault="00987867" w:rsidP="00987867">
            <w:pPr>
              <w:spacing w:after="0"/>
              <w:rPr>
                <w:rFonts w:ascii="Futura Medium" w:eastAsia="Times New Roman" w:hAnsi="Futura Medium" w:cs="Calibri"/>
                <w:b/>
                <w:bCs/>
                <w:color w:val="0F253F"/>
                <w:sz w:val="24"/>
                <w:szCs w:val="24"/>
                <w:lang w:val="en-US"/>
              </w:rPr>
            </w:pPr>
            <w:r w:rsidRPr="00987867">
              <w:rPr>
                <w:rFonts w:ascii="Futura Medium" w:eastAsia="Times New Roman" w:hAnsi="Futura Medium" w:cs="Calibri"/>
                <w:b/>
                <w:bCs/>
                <w:color w:val="0F253F"/>
                <w:sz w:val="24"/>
                <w:szCs w:val="24"/>
                <w:lang w:val="en-US"/>
              </w:rPr>
              <w:t>Challenges</w:t>
            </w:r>
          </w:p>
        </w:tc>
        <w:tc>
          <w:tcPr>
            <w:tcW w:w="2112" w:type="dxa"/>
            <w:tcBorders>
              <w:top w:val="single" w:sz="8" w:space="0" w:color="FFFFFF"/>
              <w:left w:val="nil"/>
              <w:bottom w:val="single" w:sz="12" w:space="0" w:color="FFFFFF"/>
              <w:right w:val="single" w:sz="8" w:space="0" w:color="FFFFFF"/>
            </w:tcBorders>
            <w:shd w:val="clear" w:color="000000" w:fill="F7D117"/>
            <w:hideMark/>
          </w:tcPr>
          <w:p w:rsidR="00987867" w:rsidRPr="00987867" w:rsidRDefault="00987867" w:rsidP="00987867">
            <w:pPr>
              <w:spacing w:after="0"/>
              <w:rPr>
                <w:rFonts w:ascii="Futura Medium" w:eastAsia="Times New Roman" w:hAnsi="Futura Medium" w:cs="Calibri"/>
                <w:b/>
                <w:bCs/>
                <w:color w:val="0F253F"/>
                <w:sz w:val="24"/>
                <w:szCs w:val="24"/>
                <w:lang w:val="en-US"/>
              </w:rPr>
            </w:pPr>
            <w:r w:rsidRPr="00987867">
              <w:rPr>
                <w:rFonts w:ascii="Futura Medium" w:eastAsia="Times New Roman" w:hAnsi="Futura Medium" w:cs="Calibri"/>
                <w:b/>
                <w:bCs/>
                <w:color w:val="0F253F"/>
                <w:sz w:val="24"/>
                <w:szCs w:val="24"/>
                <w:lang w:val="en-US"/>
              </w:rPr>
              <w:t xml:space="preserve">Drivers, Purpose*  </w:t>
            </w:r>
          </w:p>
        </w:tc>
        <w:tc>
          <w:tcPr>
            <w:tcW w:w="2977" w:type="dxa"/>
            <w:tcBorders>
              <w:top w:val="single" w:sz="8" w:space="0" w:color="FFFFFF"/>
              <w:left w:val="nil"/>
              <w:bottom w:val="single" w:sz="12" w:space="0" w:color="FFFFFF"/>
              <w:right w:val="single" w:sz="8" w:space="0" w:color="FFFFFF"/>
            </w:tcBorders>
            <w:shd w:val="clear" w:color="000000" w:fill="F7D117"/>
            <w:hideMark/>
          </w:tcPr>
          <w:p w:rsidR="00987867" w:rsidRPr="00987867" w:rsidRDefault="00987867" w:rsidP="00987867">
            <w:pPr>
              <w:spacing w:after="0"/>
              <w:rPr>
                <w:rFonts w:ascii="Futura Medium" w:eastAsia="Times New Roman" w:hAnsi="Futura Medium" w:cs="Calibri"/>
                <w:b/>
                <w:bCs/>
                <w:color w:val="0F253F"/>
                <w:sz w:val="24"/>
                <w:szCs w:val="24"/>
                <w:lang w:val="en-US"/>
              </w:rPr>
            </w:pPr>
            <w:r w:rsidRPr="00987867">
              <w:rPr>
                <w:rFonts w:ascii="Futura Medium" w:eastAsia="Times New Roman" w:hAnsi="Futura Medium" w:cs="Calibri"/>
                <w:b/>
                <w:bCs/>
                <w:color w:val="0F253F"/>
                <w:sz w:val="24"/>
                <w:szCs w:val="24"/>
                <w:lang w:val="en-US"/>
              </w:rPr>
              <w:t xml:space="preserve">Business Model** </w:t>
            </w:r>
          </w:p>
        </w:tc>
        <w:tc>
          <w:tcPr>
            <w:tcW w:w="3132" w:type="dxa"/>
            <w:tcBorders>
              <w:top w:val="single" w:sz="8" w:space="0" w:color="FFFFFF"/>
              <w:left w:val="nil"/>
              <w:bottom w:val="single" w:sz="12" w:space="0" w:color="FFFFFF"/>
              <w:right w:val="single" w:sz="8" w:space="0" w:color="FFFFFF"/>
            </w:tcBorders>
            <w:shd w:val="clear" w:color="000000" w:fill="F7D117"/>
            <w:hideMark/>
          </w:tcPr>
          <w:p w:rsidR="00987867" w:rsidRPr="00987867" w:rsidRDefault="00987867" w:rsidP="00987867">
            <w:pPr>
              <w:spacing w:after="0"/>
              <w:rPr>
                <w:rFonts w:ascii="Futura Medium" w:eastAsia="Times New Roman" w:hAnsi="Futura Medium" w:cs="Calibri"/>
                <w:b/>
                <w:bCs/>
                <w:color w:val="0F253F"/>
                <w:sz w:val="24"/>
                <w:szCs w:val="24"/>
                <w:lang w:val="en-US"/>
              </w:rPr>
            </w:pPr>
            <w:r w:rsidRPr="00987867">
              <w:rPr>
                <w:rFonts w:ascii="Futura Medium" w:eastAsia="Times New Roman" w:hAnsi="Futura Medium" w:cs="Calibri"/>
                <w:b/>
                <w:bCs/>
                <w:color w:val="0F253F"/>
                <w:sz w:val="24"/>
                <w:szCs w:val="24"/>
                <w:lang w:val="en-US"/>
              </w:rPr>
              <w:t>Examples</w:t>
            </w:r>
          </w:p>
        </w:tc>
      </w:tr>
      <w:tr w:rsidR="00987867" w:rsidRPr="00987867" w:rsidTr="00987867">
        <w:trPr>
          <w:trHeight w:val="1354"/>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t xml:space="preserve">Liquefaction </w:t>
            </w:r>
          </w:p>
        </w:tc>
        <w:tc>
          <w:tcPr>
            <w:tcW w:w="2693"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Production of LNG with capacity lower than 1mtpa </w:t>
            </w:r>
          </w:p>
        </w:tc>
        <w:tc>
          <w:tcPr>
            <w:tcW w:w="1701"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r>
      <w:tr w:rsidR="00987867" w:rsidRPr="00987867" w:rsidTr="00987867">
        <w:trPr>
          <w:trHeight w:val="892"/>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t>Break Bulk Infrastructure</w:t>
            </w:r>
          </w:p>
        </w:tc>
        <w:tc>
          <w:tcPr>
            <w:tcW w:w="2693"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Receives LNG (e.g. shipping) and breaks down the LNG into smaller quantities for further distribution  to marine bunkering and truck fuelling stations. </w:t>
            </w:r>
            <w:r w:rsidRPr="00987867">
              <w:rPr>
                <w:rFonts w:ascii="Futura Medium" w:eastAsia="Times New Roman" w:hAnsi="Futura Medium" w:cs="Calibri"/>
                <w:color w:val="595959"/>
                <w:sz w:val="24"/>
                <w:szCs w:val="24"/>
                <w:lang w:val="en-US"/>
              </w:rPr>
              <w:br/>
              <w:t xml:space="preserve">Also ship to ship transfer viable. </w:t>
            </w:r>
          </w:p>
        </w:tc>
        <w:tc>
          <w:tcPr>
            <w:tcW w:w="1701"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r>
      <w:tr w:rsidR="00987867" w:rsidRPr="00987867" w:rsidTr="00987867">
        <w:trPr>
          <w:trHeight w:val="1944"/>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lastRenderedPageBreak/>
              <w:t>Marine Distribution/Milk Run</w:t>
            </w:r>
          </w:p>
        </w:tc>
        <w:tc>
          <w:tcPr>
            <w:tcW w:w="2693"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Effective gas supply solution for the</w:t>
            </w:r>
            <w:r w:rsidRPr="00987867">
              <w:rPr>
                <w:rFonts w:ascii="Futura Medium" w:eastAsia="Times New Roman" w:hAnsi="Futura Medium" w:cs="Calibri"/>
                <w:color w:val="595959"/>
                <w:sz w:val="24"/>
                <w:szCs w:val="24"/>
                <w:lang w:val="en-US"/>
              </w:rPr>
              <w:br/>
              <w:t>scattered islands or coastal areas, where the other transportation modes are not economically viable or the infrastucture is not present.</w:t>
            </w:r>
            <w:r w:rsidRPr="00987867">
              <w:rPr>
                <w:rFonts w:ascii="Futura Medium" w:eastAsia="Times New Roman" w:hAnsi="Futura Medium" w:cs="Calibri"/>
                <w:color w:val="595959"/>
                <w:sz w:val="24"/>
                <w:szCs w:val="24"/>
                <w:lang w:val="en-US"/>
              </w:rPr>
              <w:br/>
              <w:t>Milk Run is characterised by partial unloading to multiple locations</w:t>
            </w:r>
          </w:p>
        </w:tc>
        <w:tc>
          <w:tcPr>
            <w:tcW w:w="1701"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Relatively low gas demand does not justify the high capital investment costs for pipelines</w:t>
            </w:r>
          </w:p>
        </w:tc>
        <w:tc>
          <w:tcPr>
            <w:tcW w:w="2977"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Eastern Indonesia</w:t>
            </w:r>
            <w:r w:rsidRPr="00987867">
              <w:rPr>
                <w:rFonts w:ascii="Futura Medium" w:eastAsia="Times New Roman" w:hAnsi="Futura Medium" w:cs="Calibri"/>
                <w:color w:val="595959"/>
                <w:sz w:val="24"/>
                <w:szCs w:val="24"/>
                <w:lang w:val="en-US"/>
              </w:rPr>
              <w:br/>
              <w:t>* Caribbean islands</w:t>
            </w:r>
            <w:r w:rsidRPr="00987867">
              <w:rPr>
                <w:rFonts w:ascii="Futura Medium" w:eastAsia="Times New Roman" w:hAnsi="Futura Medium" w:cs="Calibri"/>
                <w:color w:val="595959"/>
                <w:sz w:val="24"/>
                <w:szCs w:val="24"/>
                <w:lang w:val="en-US"/>
              </w:rPr>
              <w:br/>
              <w:t>* Coasts of Japan and Norway</w:t>
            </w:r>
          </w:p>
        </w:tc>
      </w:tr>
      <w:tr w:rsidR="00987867" w:rsidRPr="00987867" w:rsidTr="00987867">
        <w:trPr>
          <w:trHeight w:val="1018"/>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t xml:space="preserve">Infrastructure for Inland Distribution </w:t>
            </w:r>
          </w:p>
        </w:tc>
        <w:tc>
          <w:tcPr>
            <w:tcW w:w="2693"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Trucking/Shipping/Rail of LNG to inland satellite stations</w:t>
            </w:r>
          </w:p>
        </w:tc>
        <w:tc>
          <w:tcPr>
            <w:tcW w:w="1701"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China</w:t>
            </w:r>
            <w:r w:rsidRPr="00987867">
              <w:rPr>
                <w:rFonts w:ascii="Futura Medium" w:eastAsia="Times New Roman" w:hAnsi="Futura Medium" w:cs="Calibri"/>
                <w:color w:val="595959"/>
                <w:sz w:val="24"/>
                <w:szCs w:val="24"/>
                <w:lang w:val="en-US"/>
              </w:rPr>
              <w:br/>
              <w:t xml:space="preserve">* Spain </w:t>
            </w:r>
          </w:p>
        </w:tc>
      </w:tr>
      <w:tr w:rsidR="00987867" w:rsidRPr="00987867" w:rsidTr="00987867">
        <w:trPr>
          <w:trHeight w:val="2251"/>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t xml:space="preserve">Peak Shaving </w:t>
            </w:r>
          </w:p>
        </w:tc>
        <w:tc>
          <w:tcPr>
            <w:tcW w:w="2693"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LNG peak shaving facility can be chosen to supply the incremental natural gas required to meet the demands peak demands for </w:t>
            </w:r>
            <w:r w:rsidRPr="00987867">
              <w:rPr>
                <w:rFonts w:ascii="Futura Medium" w:eastAsia="Times New Roman" w:hAnsi="Futura Medium" w:cs="Calibri"/>
                <w:color w:val="595959"/>
                <w:sz w:val="24"/>
                <w:szCs w:val="24"/>
                <w:lang w:val="en-US"/>
              </w:rPr>
              <w:lastRenderedPageBreak/>
              <w:t xml:space="preserve">example, where the pipeline netweork is already fully utilised for normal demand, in remote areas far from NG resources, or where geology which prevents the development of underground gas storage. </w:t>
            </w:r>
          </w:p>
        </w:tc>
        <w:tc>
          <w:tcPr>
            <w:tcW w:w="1701"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lastRenderedPageBreak/>
              <w:t> </w:t>
            </w:r>
          </w:p>
        </w:tc>
        <w:tc>
          <w:tcPr>
            <w:tcW w:w="211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Mount Hayes LNG Peak shaving Facility - British Columbia (Vancouver Island)</w:t>
            </w:r>
          </w:p>
        </w:tc>
      </w:tr>
      <w:tr w:rsidR="00987867" w:rsidRPr="00987867" w:rsidTr="00987867">
        <w:trPr>
          <w:trHeight w:val="2580"/>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lastRenderedPageBreak/>
              <w:t>Small Scale FloatingLNG</w:t>
            </w:r>
          </w:p>
        </w:tc>
        <w:tc>
          <w:tcPr>
            <w:tcW w:w="2693"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Offshore  LNG production lower than 1 mtpa</w:t>
            </w:r>
            <w:r w:rsidRPr="00987867">
              <w:rPr>
                <w:rFonts w:ascii="Futura Medium" w:eastAsia="Times New Roman" w:hAnsi="Futura Medium" w:cs="Calibri"/>
                <w:color w:val="595959"/>
                <w:sz w:val="24"/>
                <w:szCs w:val="24"/>
                <w:lang w:val="en-US"/>
              </w:rPr>
              <w:br/>
              <w:t>– Offshore stranded gas field</w:t>
            </w:r>
            <w:r w:rsidRPr="00987867">
              <w:rPr>
                <w:rFonts w:ascii="Futura Medium" w:eastAsia="Times New Roman" w:hAnsi="Futura Medium" w:cs="Calibri"/>
                <w:color w:val="595959"/>
                <w:sz w:val="24"/>
                <w:szCs w:val="24"/>
                <w:lang w:val="en-US"/>
              </w:rPr>
              <w:br/>
              <w:t>– Associated gas available from offshore oil field</w:t>
            </w:r>
            <w:r w:rsidRPr="00987867">
              <w:rPr>
                <w:rFonts w:ascii="Futura Medium" w:eastAsia="Times New Roman" w:hAnsi="Futura Medium" w:cs="Calibri"/>
                <w:color w:val="595959"/>
                <w:sz w:val="24"/>
                <w:szCs w:val="24"/>
                <w:lang w:val="en-US"/>
              </w:rPr>
              <w:br/>
              <w:t>– Near shore location to liquefy country excess gas or shale gas</w:t>
            </w:r>
          </w:p>
        </w:tc>
        <w:tc>
          <w:tcPr>
            <w:tcW w:w="1701"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Total &amp; Technip presentation at LNG17</w:t>
            </w:r>
            <w:r w:rsidRPr="00987867">
              <w:rPr>
                <w:rFonts w:ascii="Futura Medium" w:eastAsia="Times New Roman" w:hAnsi="Futura Medium" w:cs="Calibri"/>
                <w:color w:val="595959"/>
                <w:sz w:val="24"/>
                <w:szCs w:val="24"/>
                <w:lang w:val="en-US"/>
              </w:rPr>
              <w:br/>
              <w:t>* Canadian Douglas channel project</w:t>
            </w:r>
            <w:r w:rsidRPr="00987867">
              <w:rPr>
                <w:rFonts w:ascii="Futura Medium" w:eastAsia="Times New Roman" w:hAnsi="Futura Medium" w:cs="Calibri"/>
                <w:color w:val="595959"/>
                <w:sz w:val="24"/>
                <w:szCs w:val="24"/>
                <w:lang w:val="en-US"/>
              </w:rPr>
              <w:br/>
              <w:t xml:space="preserve">*  Rubiales LNG in Columbia </w:t>
            </w:r>
          </w:p>
        </w:tc>
      </w:tr>
      <w:tr w:rsidR="00987867" w:rsidRPr="00987867" w:rsidTr="00987867">
        <w:trPr>
          <w:trHeight w:val="1264"/>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lastRenderedPageBreak/>
              <w:t>Small Scale Regas</w:t>
            </w:r>
          </w:p>
        </w:tc>
        <w:tc>
          <w:tcPr>
            <w:tcW w:w="2693"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Facility regassing LNG with less than 1mpta capacity. Various locations and sources of LNG can be considered. </w:t>
            </w:r>
          </w:p>
        </w:tc>
        <w:tc>
          <w:tcPr>
            <w:tcW w:w="1701"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 Sweden - Linde Project </w:t>
            </w:r>
            <w:r w:rsidRPr="00987867">
              <w:rPr>
                <w:rFonts w:ascii="Futura Medium" w:eastAsia="Times New Roman" w:hAnsi="Futura Medium" w:cs="Calibri"/>
                <w:color w:val="595959"/>
                <w:sz w:val="24"/>
                <w:szCs w:val="24"/>
                <w:lang w:val="en-US"/>
              </w:rPr>
              <w:br/>
              <w:t xml:space="preserve">* </w:t>
            </w:r>
          </w:p>
        </w:tc>
      </w:tr>
      <w:tr w:rsidR="00987867" w:rsidRPr="00987867" w:rsidTr="00987867">
        <w:trPr>
          <w:trHeight w:val="1999"/>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t xml:space="preserve">… </w:t>
            </w:r>
          </w:p>
        </w:tc>
        <w:tc>
          <w:tcPr>
            <w:tcW w:w="2693"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1701"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r>
    </w:tbl>
    <w:p w:rsidR="00691A2E" w:rsidRPr="00691A2E" w:rsidRDefault="00691A2E" w:rsidP="00691A2E">
      <w:pPr>
        <w:rPr>
          <w:lang w:val="en-US" w:eastAsia="nl-NL"/>
        </w:rPr>
      </w:pPr>
    </w:p>
    <w:p w:rsidR="00691A2E" w:rsidRPr="00691A2E" w:rsidRDefault="00691A2E" w:rsidP="00691A2E">
      <w:pPr>
        <w:rPr>
          <w:lang w:val="en-US" w:eastAsia="nl-NL"/>
        </w:rPr>
      </w:pPr>
    </w:p>
    <w:sectPr w:rsidR="00691A2E" w:rsidRPr="00691A2E" w:rsidSect="00987867">
      <w:pgSz w:w="16838" w:h="11906"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663" w:rsidRDefault="004E7663" w:rsidP="00ED226B">
      <w:pPr>
        <w:spacing w:after="0"/>
      </w:pPr>
      <w:r>
        <w:separator/>
      </w:r>
    </w:p>
  </w:endnote>
  <w:endnote w:type="continuationSeparator" w:id="0">
    <w:p w:rsidR="004E7663" w:rsidRDefault="004E7663" w:rsidP="00ED22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Medium">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G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ICC Title">
    <w:altName w:val="Century Gothic"/>
    <w:charset w:val="00"/>
    <w:family w:val="swiss"/>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09" w:rsidRDefault="004B72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52539"/>
      <w:docPartObj>
        <w:docPartGallery w:val="Page Numbers (Bottom of Page)"/>
        <w:docPartUnique/>
      </w:docPartObj>
    </w:sdtPr>
    <w:sdtContent>
      <w:p w:rsidR="004B7209" w:rsidRDefault="004B7209">
        <w:pPr>
          <w:pStyle w:val="Footer"/>
          <w:jc w:val="right"/>
        </w:pPr>
        <w:fldSimple w:instr=" PAGE   \* MERGEFORMAT ">
          <w:r w:rsidR="000E0385">
            <w:rPr>
              <w:noProof/>
            </w:rPr>
            <w:t>4</w:t>
          </w:r>
        </w:fldSimple>
      </w:p>
    </w:sdtContent>
  </w:sdt>
  <w:p w:rsidR="004B7209" w:rsidRDefault="004B72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09" w:rsidRDefault="004B72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663" w:rsidRDefault="004E7663" w:rsidP="00ED226B">
      <w:pPr>
        <w:spacing w:after="0"/>
      </w:pPr>
      <w:r>
        <w:separator/>
      </w:r>
    </w:p>
  </w:footnote>
  <w:footnote w:type="continuationSeparator" w:id="0">
    <w:p w:rsidR="004E7663" w:rsidRDefault="004E7663" w:rsidP="00ED226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09" w:rsidRDefault="004B72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09" w:rsidRDefault="004B7209" w:rsidP="00F42964">
    <w:pPr>
      <w:pStyle w:val="Header"/>
    </w:pPr>
    <w:r w:rsidRPr="00F42964">
      <w:rPr>
        <w:noProof/>
        <w:lang w:val="en-US"/>
      </w:rPr>
      <w:drawing>
        <wp:inline distT="0" distB="0" distL="0" distR="0">
          <wp:extent cx="1575834" cy="1052624"/>
          <wp:effectExtent l="19050" t="0" r="5316" b="0"/>
          <wp:docPr id="2" name="Picture 1" descr="C:\Apps\2012\IGU 2012-2015\Welcome Poster\image_preview.jpg"/>
          <wp:cNvGraphicFramePr/>
          <a:graphic xmlns:a="http://schemas.openxmlformats.org/drawingml/2006/main">
            <a:graphicData uri="http://schemas.openxmlformats.org/drawingml/2006/picture">
              <pic:pic xmlns:pic="http://schemas.openxmlformats.org/drawingml/2006/picture">
                <pic:nvPicPr>
                  <pic:cNvPr id="7" name="Picture 3" descr="C:\Apps\2012\IGU 2012-2015\Welcome Poster\image_preview.jpg"/>
                  <pic:cNvPicPr>
                    <a:picLocks noChangeAspect="1" noChangeArrowheads="1"/>
                  </pic:cNvPicPr>
                </pic:nvPicPr>
                <pic:blipFill>
                  <a:blip r:embed="rId1" cstate="print"/>
                  <a:srcRect/>
                  <a:stretch>
                    <a:fillRect/>
                  </a:stretch>
                </pic:blipFill>
                <pic:spPr bwMode="auto">
                  <a:xfrm>
                    <a:off x="0" y="0"/>
                    <a:ext cx="1574729" cy="1051886"/>
                  </a:xfrm>
                  <a:prstGeom prst="rect">
                    <a:avLst/>
                  </a:prstGeom>
                  <a:noFill/>
                </pic:spPr>
              </pic:pic>
            </a:graphicData>
          </a:graphic>
        </wp:inline>
      </w:drawing>
    </w:r>
    <w:r>
      <w:t xml:space="preserve">                                                                      </w:t>
    </w:r>
    <w:r w:rsidRPr="00F42964">
      <w:rPr>
        <w:noProof/>
        <w:lang w:val="en-US"/>
      </w:rPr>
      <w:drawing>
        <wp:inline distT="0" distB="0" distL="0" distR="0">
          <wp:extent cx="1416346" cy="1082674"/>
          <wp:effectExtent l="19050" t="0" r="0" b="0"/>
          <wp:docPr id="47" name="Picture 2" descr="C:\Users\KZ1058\AppData\Local\Microsoft\Windows\Temporary Internet Files\Content.Outlook\ADWZTOLY\1_New IGU logo.jpg"/>
          <wp:cNvGraphicFramePr/>
          <a:graphic xmlns:a="http://schemas.openxmlformats.org/drawingml/2006/main">
            <a:graphicData uri="http://schemas.openxmlformats.org/drawingml/2006/picture">
              <pic:pic xmlns:pic="http://schemas.openxmlformats.org/drawingml/2006/picture">
                <pic:nvPicPr>
                  <pic:cNvPr id="8" name="Picture 7" descr="C:\Users\KZ1058\AppData\Local\Microsoft\Windows\Temporary Internet Files\Content.Outlook\ADWZTOLY\1_New IGU logo.jpg"/>
                  <pic:cNvPicPr/>
                </pic:nvPicPr>
                <pic:blipFill>
                  <a:blip r:embed="rId2" cstate="print"/>
                  <a:srcRect/>
                  <a:stretch>
                    <a:fillRect/>
                  </a:stretch>
                </pic:blipFill>
                <pic:spPr bwMode="auto">
                  <a:xfrm>
                    <a:off x="0" y="0"/>
                    <a:ext cx="1416265" cy="1082612"/>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09" w:rsidRDefault="004B72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DCA734C"/>
    <w:lvl w:ilvl="0">
      <w:start w:val="1"/>
      <w:numFmt w:val="bullet"/>
      <w:lvlText w:val=""/>
      <w:lvlJc w:val="left"/>
      <w:pPr>
        <w:tabs>
          <w:tab w:val="num" w:pos="1209"/>
        </w:tabs>
        <w:ind w:left="1209" w:hanging="360"/>
      </w:pPr>
      <w:rPr>
        <w:rFonts w:ascii="Symbol" w:hAnsi="Symbol" w:hint="default"/>
      </w:rPr>
    </w:lvl>
  </w:abstractNum>
  <w:abstractNum w:abstractNumId="1">
    <w:nsid w:val="00AC018C"/>
    <w:multiLevelType w:val="hybridMultilevel"/>
    <w:tmpl w:val="F7D8AC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43C1121"/>
    <w:multiLevelType w:val="hybridMultilevel"/>
    <w:tmpl w:val="9AC8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D3D68"/>
    <w:multiLevelType w:val="hybridMultilevel"/>
    <w:tmpl w:val="1DC09A80"/>
    <w:lvl w:ilvl="0" w:tplc="4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C07EE6"/>
    <w:multiLevelType w:val="hybridMultilevel"/>
    <w:tmpl w:val="FA98487C"/>
    <w:lvl w:ilvl="0" w:tplc="B5088BB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7721A3"/>
    <w:multiLevelType w:val="hybridMultilevel"/>
    <w:tmpl w:val="397A9056"/>
    <w:lvl w:ilvl="0" w:tplc="AE8CB88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CA42EF"/>
    <w:multiLevelType w:val="hybridMultilevel"/>
    <w:tmpl w:val="3160BED0"/>
    <w:lvl w:ilvl="0" w:tplc="89E490D2">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1D6E2A01"/>
    <w:multiLevelType w:val="hybridMultilevel"/>
    <w:tmpl w:val="398AB4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04C3BB7"/>
    <w:multiLevelType w:val="hybridMultilevel"/>
    <w:tmpl w:val="405C55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CB1885"/>
    <w:multiLevelType w:val="hybridMultilevel"/>
    <w:tmpl w:val="B506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23240D"/>
    <w:multiLevelType w:val="hybridMultilevel"/>
    <w:tmpl w:val="2018BAA6"/>
    <w:lvl w:ilvl="0" w:tplc="766CA332">
      <w:start w:val="1"/>
      <w:numFmt w:val="lowerLetter"/>
      <w:lvlText w:val="%1)"/>
      <w:lvlJc w:val="left"/>
      <w:pPr>
        <w:ind w:left="1080" w:hanging="360"/>
      </w:pPr>
      <w:rPr>
        <w:rFonts w:hint="default"/>
      </w:rPr>
    </w:lvl>
    <w:lvl w:ilvl="1" w:tplc="36469B66" w:tentative="1">
      <w:start w:val="1"/>
      <w:numFmt w:val="lowerLetter"/>
      <w:lvlText w:val="%2."/>
      <w:lvlJc w:val="left"/>
      <w:pPr>
        <w:ind w:left="1800" w:hanging="360"/>
      </w:pPr>
    </w:lvl>
    <w:lvl w:ilvl="2" w:tplc="3182BEEE" w:tentative="1">
      <w:start w:val="1"/>
      <w:numFmt w:val="lowerRoman"/>
      <w:lvlText w:val="%3."/>
      <w:lvlJc w:val="right"/>
      <w:pPr>
        <w:ind w:left="2520" w:hanging="180"/>
      </w:pPr>
    </w:lvl>
    <w:lvl w:ilvl="3" w:tplc="3746FE74" w:tentative="1">
      <w:start w:val="1"/>
      <w:numFmt w:val="decimal"/>
      <w:lvlText w:val="%4."/>
      <w:lvlJc w:val="left"/>
      <w:pPr>
        <w:ind w:left="3240" w:hanging="360"/>
      </w:pPr>
    </w:lvl>
    <w:lvl w:ilvl="4" w:tplc="5F4C6B8A" w:tentative="1">
      <w:start w:val="1"/>
      <w:numFmt w:val="lowerLetter"/>
      <w:lvlText w:val="%5."/>
      <w:lvlJc w:val="left"/>
      <w:pPr>
        <w:ind w:left="3960" w:hanging="360"/>
      </w:pPr>
    </w:lvl>
    <w:lvl w:ilvl="5" w:tplc="0FCA1C5C" w:tentative="1">
      <w:start w:val="1"/>
      <w:numFmt w:val="lowerRoman"/>
      <w:lvlText w:val="%6."/>
      <w:lvlJc w:val="right"/>
      <w:pPr>
        <w:ind w:left="4680" w:hanging="180"/>
      </w:pPr>
    </w:lvl>
    <w:lvl w:ilvl="6" w:tplc="3928373E" w:tentative="1">
      <w:start w:val="1"/>
      <w:numFmt w:val="decimal"/>
      <w:lvlText w:val="%7."/>
      <w:lvlJc w:val="left"/>
      <w:pPr>
        <w:ind w:left="5400" w:hanging="360"/>
      </w:pPr>
    </w:lvl>
    <w:lvl w:ilvl="7" w:tplc="98C8D3A6" w:tentative="1">
      <w:start w:val="1"/>
      <w:numFmt w:val="lowerLetter"/>
      <w:lvlText w:val="%8."/>
      <w:lvlJc w:val="left"/>
      <w:pPr>
        <w:ind w:left="6120" w:hanging="360"/>
      </w:pPr>
    </w:lvl>
    <w:lvl w:ilvl="8" w:tplc="00701FF2" w:tentative="1">
      <w:start w:val="1"/>
      <w:numFmt w:val="lowerRoman"/>
      <w:lvlText w:val="%9."/>
      <w:lvlJc w:val="right"/>
      <w:pPr>
        <w:ind w:left="6840" w:hanging="180"/>
      </w:pPr>
    </w:lvl>
  </w:abstractNum>
  <w:abstractNum w:abstractNumId="11">
    <w:nsid w:val="23D566C7"/>
    <w:multiLevelType w:val="hybridMultilevel"/>
    <w:tmpl w:val="7EE8F154"/>
    <w:lvl w:ilvl="0" w:tplc="4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8C551D"/>
    <w:multiLevelType w:val="hybridMultilevel"/>
    <w:tmpl w:val="E3FE3C72"/>
    <w:lvl w:ilvl="0" w:tplc="071AE792">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260A0331"/>
    <w:multiLevelType w:val="hybridMultilevel"/>
    <w:tmpl w:val="4142DC30"/>
    <w:lvl w:ilvl="0" w:tplc="4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D52ED6"/>
    <w:multiLevelType w:val="hybridMultilevel"/>
    <w:tmpl w:val="E716CD24"/>
    <w:lvl w:ilvl="0" w:tplc="4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A14C39"/>
    <w:multiLevelType w:val="multilevel"/>
    <w:tmpl w:val="53A8EEE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BB3344E"/>
    <w:multiLevelType w:val="hybridMultilevel"/>
    <w:tmpl w:val="7D861A64"/>
    <w:lvl w:ilvl="0" w:tplc="4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E7D38AB"/>
    <w:multiLevelType w:val="hybridMultilevel"/>
    <w:tmpl w:val="5DE811EE"/>
    <w:lvl w:ilvl="0" w:tplc="4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564C51"/>
    <w:multiLevelType w:val="hybridMultilevel"/>
    <w:tmpl w:val="0B02B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2A77832"/>
    <w:multiLevelType w:val="hybridMultilevel"/>
    <w:tmpl w:val="4D04ED4C"/>
    <w:lvl w:ilvl="0" w:tplc="06F8B64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7FB5E7B"/>
    <w:multiLevelType w:val="hybridMultilevel"/>
    <w:tmpl w:val="DDE068B4"/>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nsid w:val="3B403ED0"/>
    <w:multiLevelType w:val="hybridMultilevel"/>
    <w:tmpl w:val="F6A473C4"/>
    <w:lvl w:ilvl="0" w:tplc="071AE7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5242C3"/>
    <w:multiLevelType w:val="hybridMultilevel"/>
    <w:tmpl w:val="3814C84A"/>
    <w:lvl w:ilvl="0" w:tplc="4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E85F18"/>
    <w:multiLevelType w:val="hybridMultilevel"/>
    <w:tmpl w:val="D03AEAC0"/>
    <w:lvl w:ilvl="0" w:tplc="5CFA5068">
      <w:start w:val="1"/>
      <w:numFmt w:val="bullet"/>
      <w:lvlText w:val=""/>
      <w:lvlJc w:val="left"/>
      <w:pPr>
        <w:tabs>
          <w:tab w:val="num" w:pos="720"/>
        </w:tabs>
        <w:ind w:left="720" w:hanging="360"/>
      </w:pPr>
      <w:rPr>
        <w:rFonts w:ascii="Wingdings" w:hAnsi="Wingdings" w:hint="default"/>
      </w:rPr>
    </w:lvl>
    <w:lvl w:ilvl="1" w:tplc="FA424520" w:tentative="1">
      <w:start w:val="1"/>
      <w:numFmt w:val="bullet"/>
      <w:lvlText w:val=""/>
      <w:lvlJc w:val="left"/>
      <w:pPr>
        <w:tabs>
          <w:tab w:val="num" w:pos="1440"/>
        </w:tabs>
        <w:ind w:left="1440" w:hanging="360"/>
      </w:pPr>
      <w:rPr>
        <w:rFonts w:ascii="Wingdings" w:hAnsi="Wingdings" w:hint="default"/>
      </w:rPr>
    </w:lvl>
    <w:lvl w:ilvl="2" w:tplc="513C0594" w:tentative="1">
      <w:start w:val="1"/>
      <w:numFmt w:val="bullet"/>
      <w:lvlText w:val=""/>
      <w:lvlJc w:val="left"/>
      <w:pPr>
        <w:tabs>
          <w:tab w:val="num" w:pos="2160"/>
        </w:tabs>
        <w:ind w:left="2160" w:hanging="360"/>
      </w:pPr>
      <w:rPr>
        <w:rFonts w:ascii="Wingdings" w:hAnsi="Wingdings" w:hint="default"/>
      </w:rPr>
    </w:lvl>
    <w:lvl w:ilvl="3" w:tplc="411AE394" w:tentative="1">
      <w:start w:val="1"/>
      <w:numFmt w:val="bullet"/>
      <w:lvlText w:val=""/>
      <w:lvlJc w:val="left"/>
      <w:pPr>
        <w:tabs>
          <w:tab w:val="num" w:pos="2880"/>
        </w:tabs>
        <w:ind w:left="2880" w:hanging="360"/>
      </w:pPr>
      <w:rPr>
        <w:rFonts w:ascii="Wingdings" w:hAnsi="Wingdings" w:hint="default"/>
      </w:rPr>
    </w:lvl>
    <w:lvl w:ilvl="4" w:tplc="26841FF6" w:tentative="1">
      <w:start w:val="1"/>
      <w:numFmt w:val="bullet"/>
      <w:lvlText w:val=""/>
      <w:lvlJc w:val="left"/>
      <w:pPr>
        <w:tabs>
          <w:tab w:val="num" w:pos="3600"/>
        </w:tabs>
        <w:ind w:left="3600" w:hanging="360"/>
      </w:pPr>
      <w:rPr>
        <w:rFonts w:ascii="Wingdings" w:hAnsi="Wingdings" w:hint="default"/>
      </w:rPr>
    </w:lvl>
    <w:lvl w:ilvl="5" w:tplc="7FC2B7DA" w:tentative="1">
      <w:start w:val="1"/>
      <w:numFmt w:val="bullet"/>
      <w:lvlText w:val=""/>
      <w:lvlJc w:val="left"/>
      <w:pPr>
        <w:tabs>
          <w:tab w:val="num" w:pos="4320"/>
        </w:tabs>
        <w:ind w:left="4320" w:hanging="360"/>
      </w:pPr>
      <w:rPr>
        <w:rFonts w:ascii="Wingdings" w:hAnsi="Wingdings" w:hint="default"/>
      </w:rPr>
    </w:lvl>
    <w:lvl w:ilvl="6" w:tplc="B380B8FE" w:tentative="1">
      <w:start w:val="1"/>
      <w:numFmt w:val="bullet"/>
      <w:lvlText w:val=""/>
      <w:lvlJc w:val="left"/>
      <w:pPr>
        <w:tabs>
          <w:tab w:val="num" w:pos="5040"/>
        </w:tabs>
        <w:ind w:left="5040" w:hanging="360"/>
      </w:pPr>
      <w:rPr>
        <w:rFonts w:ascii="Wingdings" w:hAnsi="Wingdings" w:hint="default"/>
      </w:rPr>
    </w:lvl>
    <w:lvl w:ilvl="7" w:tplc="79728212" w:tentative="1">
      <w:start w:val="1"/>
      <w:numFmt w:val="bullet"/>
      <w:lvlText w:val=""/>
      <w:lvlJc w:val="left"/>
      <w:pPr>
        <w:tabs>
          <w:tab w:val="num" w:pos="5760"/>
        </w:tabs>
        <w:ind w:left="5760" w:hanging="360"/>
      </w:pPr>
      <w:rPr>
        <w:rFonts w:ascii="Wingdings" w:hAnsi="Wingdings" w:hint="default"/>
      </w:rPr>
    </w:lvl>
    <w:lvl w:ilvl="8" w:tplc="62C0E9C4" w:tentative="1">
      <w:start w:val="1"/>
      <w:numFmt w:val="bullet"/>
      <w:lvlText w:val=""/>
      <w:lvlJc w:val="left"/>
      <w:pPr>
        <w:tabs>
          <w:tab w:val="num" w:pos="6480"/>
        </w:tabs>
        <w:ind w:left="6480" w:hanging="360"/>
      </w:pPr>
      <w:rPr>
        <w:rFonts w:ascii="Wingdings" w:hAnsi="Wingdings" w:hint="default"/>
      </w:rPr>
    </w:lvl>
  </w:abstractNum>
  <w:abstractNum w:abstractNumId="24">
    <w:nsid w:val="46416D8D"/>
    <w:multiLevelType w:val="hybridMultilevel"/>
    <w:tmpl w:val="D450BFFA"/>
    <w:lvl w:ilvl="0" w:tplc="44090001">
      <w:start w:val="1"/>
      <w:numFmt w:val="bullet"/>
      <w:lvlText w:val=""/>
      <w:lvlJc w:val="left"/>
      <w:pPr>
        <w:ind w:left="360" w:hanging="360"/>
      </w:pPr>
      <w:rPr>
        <w:rFonts w:ascii="Symbol" w:hAnsi="Symbol" w:hint="default"/>
      </w:rPr>
    </w:lvl>
    <w:lvl w:ilvl="1" w:tplc="863ADDC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AAC69DB"/>
    <w:multiLevelType w:val="hybridMultilevel"/>
    <w:tmpl w:val="C2C801A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nsid w:val="4E001C7F"/>
    <w:multiLevelType w:val="hybridMultilevel"/>
    <w:tmpl w:val="E8603B5E"/>
    <w:lvl w:ilvl="0" w:tplc="4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316EBF"/>
    <w:multiLevelType w:val="hybridMultilevel"/>
    <w:tmpl w:val="B4D4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E50DB7"/>
    <w:multiLevelType w:val="hybridMultilevel"/>
    <w:tmpl w:val="AAEA623A"/>
    <w:lvl w:ilvl="0" w:tplc="071AE792">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nsid w:val="5A483A27"/>
    <w:multiLevelType w:val="hybridMultilevel"/>
    <w:tmpl w:val="A29A8F9A"/>
    <w:lvl w:ilvl="0" w:tplc="071AE7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A8206E"/>
    <w:multiLevelType w:val="hybridMultilevel"/>
    <w:tmpl w:val="96248C9E"/>
    <w:lvl w:ilvl="0" w:tplc="2B4A093C">
      <w:start w:val="1"/>
      <w:numFmt w:val="bullet"/>
      <w:lvlText w:val=""/>
      <w:lvlJc w:val="left"/>
      <w:pPr>
        <w:tabs>
          <w:tab w:val="num" w:pos="720"/>
        </w:tabs>
        <w:ind w:left="720" w:hanging="360"/>
      </w:pPr>
      <w:rPr>
        <w:rFonts w:ascii="Wingdings" w:hAnsi="Wingdings" w:hint="default"/>
      </w:rPr>
    </w:lvl>
    <w:lvl w:ilvl="1" w:tplc="A0FA0CF6" w:tentative="1">
      <w:start w:val="1"/>
      <w:numFmt w:val="bullet"/>
      <w:lvlText w:val=""/>
      <w:lvlJc w:val="left"/>
      <w:pPr>
        <w:tabs>
          <w:tab w:val="num" w:pos="1440"/>
        </w:tabs>
        <w:ind w:left="1440" w:hanging="360"/>
      </w:pPr>
      <w:rPr>
        <w:rFonts w:ascii="Wingdings" w:hAnsi="Wingdings" w:hint="default"/>
      </w:rPr>
    </w:lvl>
    <w:lvl w:ilvl="2" w:tplc="A47E1A12" w:tentative="1">
      <w:start w:val="1"/>
      <w:numFmt w:val="bullet"/>
      <w:lvlText w:val=""/>
      <w:lvlJc w:val="left"/>
      <w:pPr>
        <w:tabs>
          <w:tab w:val="num" w:pos="2160"/>
        </w:tabs>
        <w:ind w:left="2160" w:hanging="360"/>
      </w:pPr>
      <w:rPr>
        <w:rFonts w:ascii="Wingdings" w:hAnsi="Wingdings" w:hint="default"/>
      </w:rPr>
    </w:lvl>
    <w:lvl w:ilvl="3" w:tplc="7B8669B8" w:tentative="1">
      <w:start w:val="1"/>
      <w:numFmt w:val="bullet"/>
      <w:lvlText w:val=""/>
      <w:lvlJc w:val="left"/>
      <w:pPr>
        <w:tabs>
          <w:tab w:val="num" w:pos="2880"/>
        </w:tabs>
        <w:ind w:left="2880" w:hanging="360"/>
      </w:pPr>
      <w:rPr>
        <w:rFonts w:ascii="Wingdings" w:hAnsi="Wingdings" w:hint="default"/>
      </w:rPr>
    </w:lvl>
    <w:lvl w:ilvl="4" w:tplc="27E6120E" w:tentative="1">
      <w:start w:val="1"/>
      <w:numFmt w:val="bullet"/>
      <w:lvlText w:val=""/>
      <w:lvlJc w:val="left"/>
      <w:pPr>
        <w:tabs>
          <w:tab w:val="num" w:pos="3600"/>
        </w:tabs>
        <w:ind w:left="3600" w:hanging="360"/>
      </w:pPr>
      <w:rPr>
        <w:rFonts w:ascii="Wingdings" w:hAnsi="Wingdings" w:hint="default"/>
      </w:rPr>
    </w:lvl>
    <w:lvl w:ilvl="5" w:tplc="26EEBFEC" w:tentative="1">
      <w:start w:val="1"/>
      <w:numFmt w:val="bullet"/>
      <w:lvlText w:val=""/>
      <w:lvlJc w:val="left"/>
      <w:pPr>
        <w:tabs>
          <w:tab w:val="num" w:pos="4320"/>
        </w:tabs>
        <w:ind w:left="4320" w:hanging="360"/>
      </w:pPr>
      <w:rPr>
        <w:rFonts w:ascii="Wingdings" w:hAnsi="Wingdings" w:hint="default"/>
      </w:rPr>
    </w:lvl>
    <w:lvl w:ilvl="6" w:tplc="7AA0A78C" w:tentative="1">
      <w:start w:val="1"/>
      <w:numFmt w:val="bullet"/>
      <w:lvlText w:val=""/>
      <w:lvlJc w:val="left"/>
      <w:pPr>
        <w:tabs>
          <w:tab w:val="num" w:pos="5040"/>
        </w:tabs>
        <w:ind w:left="5040" w:hanging="360"/>
      </w:pPr>
      <w:rPr>
        <w:rFonts w:ascii="Wingdings" w:hAnsi="Wingdings" w:hint="default"/>
      </w:rPr>
    </w:lvl>
    <w:lvl w:ilvl="7" w:tplc="556C7098" w:tentative="1">
      <w:start w:val="1"/>
      <w:numFmt w:val="bullet"/>
      <w:lvlText w:val=""/>
      <w:lvlJc w:val="left"/>
      <w:pPr>
        <w:tabs>
          <w:tab w:val="num" w:pos="5760"/>
        </w:tabs>
        <w:ind w:left="5760" w:hanging="360"/>
      </w:pPr>
      <w:rPr>
        <w:rFonts w:ascii="Wingdings" w:hAnsi="Wingdings" w:hint="default"/>
      </w:rPr>
    </w:lvl>
    <w:lvl w:ilvl="8" w:tplc="F91C5048" w:tentative="1">
      <w:start w:val="1"/>
      <w:numFmt w:val="bullet"/>
      <w:lvlText w:val=""/>
      <w:lvlJc w:val="left"/>
      <w:pPr>
        <w:tabs>
          <w:tab w:val="num" w:pos="6480"/>
        </w:tabs>
        <w:ind w:left="6480" w:hanging="360"/>
      </w:pPr>
      <w:rPr>
        <w:rFonts w:ascii="Wingdings" w:hAnsi="Wingdings" w:hint="default"/>
      </w:rPr>
    </w:lvl>
  </w:abstractNum>
  <w:abstractNum w:abstractNumId="31">
    <w:nsid w:val="5C5272C4"/>
    <w:multiLevelType w:val="hybridMultilevel"/>
    <w:tmpl w:val="41A0197A"/>
    <w:lvl w:ilvl="0" w:tplc="4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DB002E2"/>
    <w:multiLevelType w:val="hybridMultilevel"/>
    <w:tmpl w:val="CBF4C61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608E7A7E"/>
    <w:multiLevelType w:val="hybridMultilevel"/>
    <w:tmpl w:val="7F58CA38"/>
    <w:lvl w:ilvl="0" w:tplc="6C321878">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nsid w:val="640F52BB"/>
    <w:multiLevelType w:val="hybridMultilevel"/>
    <w:tmpl w:val="0BEA82E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nsid w:val="67560D4F"/>
    <w:multiLevelType w:val="hybridMultilevel"/>
    <w:tmpl w:val="74625A4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6">
    <w:nsid w:val="685963F5"/>
    <w:multiLevelType w:val="hybridMultilevel"/>
    <w:tmpl w:val="78C6D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C159F7"/>
    <w:multiLevelType w:val="multilevel"/>
    <w:tmpl w:val="4DCE5BCC"/>
    <w:lvl w:ilvl="0">
      <w:start w:val="1"/>
      <w:numFmt w:val="decimal"/>
      <w:pStyle w:val="AppendixHeading"/>
      <w:lvlText w:val="Appendix %1."/>
      <w:lvlJc w:val="left"/>
      <w:pPr>
        <w:tabs>
          <w:tab w:val="num" w:pos="1800"/>
        </w:tabs>
        <w:ind w:left="567" w:hanging="567"/>
      </w:pPr>
      <w:rPr>
        <w:rFonts w:hint="default"/>
      </w:rPr>
    </w:lvl>
    <w:lvl w:ilvl="1">
      <w:start w:val="1"/>
      <w:numFmt w:val="decimal"/>
      <w:pStyle w:val="AppendixHeading1"/>
      <w:lvlText w:val="A%1.%2."/>
      <w:lvlJc w:val="left"/>
      <w:pPr>
        <w:tabs>
          <w:tab w:val="num" w:pos="567"/>
        </w:tabs>
        <w:ind w:left="567" w:hanging="567"/>
      </w:pPr>
      <w:rPr>
        <w:rFonts w:hint="default"/>
      </w:rPr>
    </w:lvl>
    <w:lvl w:ilvl="2">
      <w:start w:val="1"/>
      <w:numFmt w:val="decimal"/>
      <w:pStyle w:val="AppendixHeading2"/>
      <w:lvlText w:val="A%1.%2.%3."/>
      <w:lvlJc w:val="left"/>
      <w:pPr>
        <w:tabs>
          <w:tab w:val="num" w:pos="720"/>
        </w:tabs>
        <w:ind w:left="567" w:hanging="567"/>
      </w:pPr>
      <w:rPr>
        <w:rFonts w:hint="default"/>
      </w:rPr>
    </w:lvl>
    <w:lvl w:ilvl="3">
      <w:start w:val="1"/>
      <w:numFmt w:val="decimal"/>
      <w:pStyle w:val="AppendixHeading3"/>
      <w:lvlText w:val="A%1.%2.%3.%4."/>
      <w:lvlJc w:val="left"/>
      <w:pPr>
        <w:tabs>
          <w:tab w:val="num" w:pos="1080"/>
        </w:tabs>
        <w:ind w:left="0" w:firstLine="0"/>
      </w:pPr>
      <w:rPr>
        <w:rFonts w:hint="default"/>
      </w:rPr>
    </w:lvl>
    <w:lvl w:ilvl="4">
      <w:start w:val="1"/>
      <w:numFmt w:val="decimal"/>
      <w:pStyle w:val="AppendixHeading4"/>
      <w:lvlText w:val="A%1.%2.%3.%4.%5."/>
      <w:lvlJc w:val="left"/>
      <w:pPr>
        <w:tabs>
          <w:tab w:val="num" w:pos="1080"/>
        </w:tabs>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8">
    <w:nsid w:val="77A259EC"/>
    <w:multiLevelType w:val="multilevel"/>
    <w:tmpl w:val="0652C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3C3453"/>
    <w:multiLevelType w:val="hybridMultilevel"/>
    <w:tmpl w:val="37B2119E"/>
    <w:lvl w:ilvl="0" w:tplc="4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196AD8"/>
    <w:multiLevelType w:val="hybridMultilevel"/>
    <w:tmpl w:val="7398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E7B0069"/>
    <w:multiLevelType w:val="hybridMultilevel"/>
    <w:tmpl w:val="3948F146"/>
    <w:lvl w:ilvl="0" w:tplc="78781C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F41A11"/>
    <w:multiLevelType w:val="hybridMultilevel"/>
    <w:tmpl w:val="54F476D4"/>
    <w:lvl w:ilvl="0" w:tplc="4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FAC3ADD"/>
    <w:multiLevelType w:val="hybridMultilevel"/>
    <w:tmpl w:val="FCCCB7CC"/>
    <w:lvl w:ilvl="0" w:tplc="4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10"/>
  </w:num>
  <w:num w:numId="3">
    <w:abstractNumId w:val="33"/>
  </w:num>
  <w:num w:numId="4">
    <w:abstractNumId w:val="37"/>
  </w:num>
  <w:num w:numId="5">
    <w:abstractNumId w:val="6"/>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4"/>
  </w:num>
  <w:num w:numId="10">
    <w:abstractNumId w:val="9"/>
  </w:num>
  <w:num w:numId="11">
    <w:abstractNumId w:val="20"/>
  </w:num>
  <w:num w:numId="12">
    <w:abstractNumId w:val="22"/>
  </w:num>
  <w:num w:numId="13">
    <w:abstractNumId w:val="38"/>
  </w:num>
  <w:num w:numId="14">
    <w:abstractNumId w:val="18"/>
  </w:num>
  <w:num w:numId="15">
    <w:abstractNumId w:val="35"/>
  </w:num>
  <w:num w:numId="16">
    <w:abstractNumId w:val="27"/>
  </w:num>
  <w:num w:numId="17">
    <w:abstractNumId w:val="16"/>
  </w:num>
  <w:num w:numId="18">
    <w:abstractNumId w:val="19"/>
  </w:num>
  <w:num w:numId="19">
    <w:abstractNumId w:val="5"/>
  </w:num>
  <w:num w:numId="20">
    <w:abstractNumId w:val="0"/>
  </w:num>
  <w:num w:numId="21">
    <w:abstractNumId w:val="28"/>
  </w:num>
  <w:num w:numId="22">
    <w:abstractNumId w:val="36"/>
  </w:num>
  <w:num w:numId="23">
    <w:abstractNumId w:val="8"/>
  </w:num>
  <w:num w:numId="24">
    <w:abstractNumId w:val="25"/>
  </w:num>
  <w:num w:numId="25">
    <w:abstractNumId w:val="12"/>
  </w:num>
  <w:num w:numId="26">
    <w:abstractNumId w:val="39"/>
  </w:num>
  <w:num w:numId="27">
    <w:abstractNumId w:val="29"/>
  </w:num>
  <w:num w:numId="28">
    <w:abstractNumId w:val="3"/>
  </w:num>
  <w:num w:numId="29">
    <w:abstractNumId w:val="31"/>
  </w:num>
  <w:num w:numId="30">
    <w:abstractNumId w:val="17"/>
  </w:num>
  <w:num w:numId="31">
    <w:abstractNumId w:val="21"/>
  </w:num>
  <w:num w:numId="32">
    <w:abstractNumId w:val="13"/>
  </w:num>
  <w:num w:numId="33">
    <w:abstractNumId w:val="11"/>
  </w:num>
  <w:num w:numId="34">
    <w:abstractNumId w:val="24"/>
  </w:num>
  <w:num w:numId="35">
    <w:abstractNumId w:val="43"/>
  </w:num>
  <w:num w:numId="36">
    <w:abstractNumId w:val="26"/>
  </w:num>
  <w:num w:numId="37">
    <w:abstractNumId w:val="14"/>
  </w:num>
  <w:num w:numId="38">
    <w:abstractNumId w:val="42"/>
  </w:num>
  <w:num w:numId="39">
    <w:abstractNumId w:val="32"/>
  </w:num>
  <w:num w:numId="40">
    <w:abstractNumId w:val="15"/>
  </w:num>
  <w:num w:numId="41">
    <w:abstractNumId w:val="1"/>
  </w:num>
  <w:num w:numId="42">
    <w:abstractNumId w:val="2"/>
  </w:num>
  <w:num w:numId="43">
    <w:abstractNumId w:val="40"/>
  </w:num>
  <w:num w:numId="44">
    <w:abstractNumId w:val="30"/>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D226B"/>
    <w:rsid w:val="000044FF"/>
    <w:rsid w:val="00010961"/>
    <w:rsid w:val="0002186F"/>
    <w:rsid w:val="00021873"/>
    <w:rsid w:val="0002797C"/>
    <w:rsid w:val="00031F4C"/>
    <w:rsid w:val="000342F6"/>
    <w:rsid w:val="000345F1"/>
    <w:rsid w:val="000356E3"/>
    <w:rsid w:val="00041F7C"/>
    <w:rsid w:val="00052016"/>
    <w:rsid w:val="000526B3"/>
    <w:rsid w:val="00052EAC"/>
    <w:rsid w:val="00053920"/>
    <w:rsid w:val="000558B6"/>
    <w:rsid w:val="000616A8"/>
    <w:rsid w:val="00061A86"/>
    <w:rsid w:val="0006688E"/>
    <w:rsid w:val="000679CA"/>
    <w:rsid w:val="000679E9"/>
    <w:rsid w:val="00075BC3"/>
    <w:rsid w:val="000820EF"/>
    <w:rsid w:val="00086C5D"/>
    <w:rsid w:val="00086E40"/>
    <w:rsid w:val="000903A5"/>
    <w:rsid w:val="00090DA8"/>
    <w:rsid w:val="00090E4D"/>
    <w:rsid w:val="0009528E"/>
    <w:rsid w:val="00096B26"/>
    <w:rsid w:val="000A0D4C"/>
    <w:rsid w:val="000A1252"/>
    <w:rsid w:val="000A3FFC"/>
    <w:rsid w:val="000A7248"/>
    <w:rsid w:val="000B0EFB"/>
    <w:rsid w:val="000B3104"/>
    <w:rsid w:val="000B49BE"/>
    <w:rsid w:val="000B509C"/>
    <w:rsid w:val="000B65C1"/>
    <w:rsid w:val="000C1C39"/>
    <w:rsid w:val="000C1D6B"/>
    <w:rsid w:val="000D4BF8"/>
    <w:rsid w:val="000E0385"/>
    <w:rsid w:val="000E05D7"/>
    <w:rsid w:val="000E2374"/>
    <w:rsid w:val="000E6D92"/>
    <w:rsid w:val="000F25D7"/>
    <w:rsid w:val="000F2636"/>
    <w:rsid w:val="00100329"/>
    <w:rsid w:val="001055A8"/>
    <w:rsid w:val="00114F66"/>
    <w:rsid w:val="00115361"/>
    <w:rsid w:val="00117963"/>
    <w:rsid w:val="00142984"/>
    <w:rsid w:val="00145CDC"/>
    <w:rsid w:val="00147891"/>
    <w:rsid w:val="00151CEB"/>
    <w:rsid w:val="00152CAC"/>
    <w:rsid w:val="0015402C"/>
    <w:rsid w:val="00156026"/>
    <w:rsid w:val="00156412"/>
    <w:rsid w:val="0015707C"/>
    <w:rsid w:val="0016361F"/>
    <w:rsid w:val="00164363"/>
    <w:rsid w:val="00166D93"/>
    <w:rsid w:val="00167115"/>
    <w:rsid w:val="00175366"/>
    <w:rsid w:val="00181E57"/>
    <w:rsid w:val="00185431"/>
    <w:rsid w:val="00186715"/>
    <w:rsid w:val="00191EF4"/>
    <w:rsid w:val="001941E4"/>
    <w:rsid w:val="00197052"/>
    <w:rsid w:val="001A3726"/>
    <w:rsid w:val="001A7202"/>
    <w:rsid w:val="001B3A4B"/>
    <w:rsid w:val="001B5399"/>
    <w:rsid w:val="001B5C07"/>
    <w:rsid w:val="001D530D"/>
    <w:rsid w:val="001E01C3"/>
    <w:rsid w:val="001E3B1B"/>
    <w:rsid w:val="001E5FF7"/>
    <w:rsid w:val="001F06DA"/>
    <w:rsid w:val="001F40C5"/>
    <w:rsid w:val="002037F4"/>
    <w:rsid w:val="00207475"/>
    <w:rsid w:val="00210E6A"/>
    <w:rsid w:val="00211419"/>
    <w:rsid w:val="00221A9B"/>
    <w:rsid w:val="002272EC"/>
    <w:rsid w:val="002314D5"/>
    <w:rsid w:val="00232081"/>
    <w:rsid w:val="002321F2"/>
    <w:rsid w:val="002443BC"/>
    <w:rsid w:val="0024443E"/>
    <w:rsid w:val="002509D8"/>
    <w:rsid w:val="002623FE"/>
    <w:rsid w:val="002745B1"/>
    <w:rsid w:val="00276EA1"/>
    <w:rsid w:val="002770FD"/>
    <w:rsid w:val="00281610"/>
    <w:rsid w:val="0029789F"/>
    <w:rsid w:val="00297C09"/>
    <w:rsid w:val="002A3E7F"/>
    <w:rsid w:val="002B371F"/>
    <w:rsid w:val="002B598C"/>
    <w:rsid w:val="002B5D48"/>
    <w:rsid w:val="002B7429"/>
    <w:rsid w:val="002C4158"/>
    <w:rsid w:val="002D10A9"/>
    <w:rsid w:val="002D50F3"/>
    <w:rsid w:val="002D5798"/>
    <w:rsid w:val="002E0F15"/>
    <w:rsid w:val="002E4478"/>
    <w:rsid w:val="003032D1"/>
    <w:rsid w:val="00304846"/>
    <w:rsid w:val="00306C75"/>
    <w:rsid w:val="00307B8B"/>
    <w:rsid w:val="003105D3"/>
    <w:rsid w:val="00313C86"/>
    <w:rsid w:val="00321975"/>
    <w:rsid w:val="00322BD1"/>
    <w:rsid w:val="003268B1"/>
    <w:rsid w:val="00332855"/>
    <w:rsid w:val="003364A4"/>
    <w:rsid w:val="003416B6"/>
    <w:rsid w:val="0034281D"/>
    <w:rsid w:val="00342AD3"/>
    <w:rsid w:val="00343822"/>
    <w:rsid w:val="003567A0"/>
    <w:rsid w:val="00357DD8"/>
    <w:rsid w:val="00361C7E"/>
    <w:rsid w:val="00361CC7"/>
    <w:rsid w:val="00362F2F"/>
    <w:rsid w:val="003639C7"/>
    <w:rsid w:val="003653D9"/>
    <w:rsid w:val="00373E37"/>
    <w:rsid w:val="003914C1"/>
    <w:rsid w:val="00393A76"/>
    <w:rsid w:val="003A2A4B"/>
    <w:rsid w:val="003A2D43"/>
    <w:rsid w:val="003A70C8"/>
    <w:rsid w:val="003C0155"/>
    <w:rsid w:val="003C0901"/>
    <w:rsid w:val="003C27A5"/>
    <w:rsid w:val="003C574A"/>
    <w:rsid w:val="003C7FE8"/>
    <w:rsid w:val="003D0643"/>
    <w:rsid w:val="003E078C"/>
    <w:rsid w:val="003E1C36"/>
    <w:rsid w:val="003E6D42"/>
    <w:rsid w:val="003F4E27"/>
    <w:rsid w:val="00401089"/>
    <w:rsid w:val="00407D46"/>
    <w:rsid w:val="0041056B"/>
    <w:rsid w:val="00412175"/>
    <w:rsid w:val="00427347"/>
    <w:rsid w:val="00431276"/>
    <w:rsid w:val="00432B2C"/>
    <w:rsid w:val="004378B3"/>
    <w:rsid w:val="00442FD5"/>
    <w:rsid w:val="00443A17"/>
    <w:rsid w:val="00446435"/>
    <w:rsid w:val="00447462"/>
    <w:rsid w:val="00447BFF"/>
    <w:rsid w:val="00450C0B"/>
    <w:rsid w:val="00455B55"/>
    <w:rsid w:val="00455EFB"/>
    <w:rsid w:val="00457C8A"/>
    <w:rsid w:val="004602FB"/>
    <w:rsid w:val="0046381A"/>
    <w:rsid w:val="00465C86"/>
    <w:rsid w:val="00473C6E"/>
    <w:rsid w:val="00475FC7"/>
    <w:rsid w:val="00485F00"/>
    <w:rsid w:val="00486809"/>
    <w:rsid w:val="004873B9"/>
    <w:rsid w:val="00490C92"/>
    <w:rsid w:val="0049197B"/>
    <w:rsid w:val="00493255"/>
    <w:rsid w:val="004B12E1"/>
    <w:rsid w:val="004B7209"/>
    <w:rsid w:val="004C5E42"/>
    <w:rsid w:val="004D07E6"/>
    <w:rsid w:val="004D521D"/>
    <w:rsid w:val="004D7CFF"/>
    <w:rsid w:val="004E01AA"/>
    <w:rsid w:val="004E260C"/>
    <w:rsid w:val="004E3600"/>
    <w:rsid w:val="004E3F06"/>
    <w:rsid w:val="004E7663"/>
    <w:rsid w:val="004F4F18"/>
    <w:rsid w:val="004F6A5D"/>
    <w:rsid w:val="004F75F2"/>
    <w:rsid w:val="00511D6C"/>
    <w:rsid w:val="00514949"/>
    <w:rsid w:val="00515A44"/>
    <w:rsid w:val="00517E32"/>
    <w:rsid w:val="005334A7"/>
    <w:rsid w:val="0053485C"/>
    <w:rsid w:val="00536020"/>
    <w:rsid w:val="00543DB2"/>
    <w:rsid w:val="00546DBC"/>
    <w:rsid w:val="005520C0"/>
    <w:rsid w:val="00554F95"/>
    <w:rsid w:val="005556CE"/>
    <w:rsid w:val="00560330"/>
    <w:rsid w:val="00563F22"/>
    <w:rsid w:val="00566122"/>
    <w:rsid w:val="00567611"/>
    <w:rsid w:val="005708A8"/>
    <w:rsid w:val="00573879"/>
    <w:rsid w:val="00574E2E"/>
    <w:rsid w:val="00582F4C"/>
    <w:rsid w:val="00585E57"/>
    <w:rsid w:val="00591104"/>
    <w:rsid w:val="00591650"/>
    <w:rsid w:val="00591FA6"/>
    <w:rsid w:val="00593AB1"/>
    <w:rsid w:val="005A0D74"/>
    <w:rsid w:val="005A1A78"/>
    <w:rsid w:val="005A237C"/>
    <w:rsid w:val="005B0129"/>
    <w:rsid w:val="005B0B79"/>
    <w:rsid w:val="005B17E5"/>
    <w:rsid w:val="005B3A66"/>
    <w:rsid w:val="005C3EB1"/>
    <w:rsid w:val="005C52B2"/>
    <w:rsid w:val="005C7347"/>
    <w:rsid w:val="005D151A"/>
    <w:rsid w:val="005E141F"/>
    <w:rsid w:val="005E1A41"/>
    <w:rsid w:val="005F18E2"/>
    <w:rsid w:val="005F2667"/>
    <w:rsid w:val="005F2A55"/>
    <w:rsid w:val="005F2E3F"/>
    <w:rsid w:val="005F3F39"/>
    <w:rsid w:val="005F6BB0"/>
    <w:rsid w:val="00607DC6"/>
    <w:rsid w:val="006126AB"/>
    <w:rsid w:val="0061351C"/>
    <w:rsid w:val="00617C57"/>
    <w:rsid w:val="00624451"/>
    <w:rsid w:val="00624DF6"/>
    <w:rsid w:val="006258B1"/>
    <w:rsid w:val="00630059"/>
    <w:rsid w:val="00631865"/>
    <w:rsid w:val="0063202A"/>
    <w:rsid w:val="00632786"/>
    <w:rsid w:val="00635251"/>
    <w:rsid w:val="00641758"/>
    <w:rsid w:val="00650EA8"/>
    <w:rsid w:val="0065234F"/>
    <w:rsid w:val="0065379C"/>
    <w:rsid w:val="0066351D"/>
    <w:rsid w:val="0066396C"/>
    <w:rsid w:val="00663BB2"/>
    <w:rsid w:val="0066542B"/>
    <w:rsid w:val="00674C43"/>
    <w:rsid w:val="00680DE5"/>
    <w:rsid w:val="00685929"/>
    <w:rsid w:val="00687EAD"/>
    <w:rsid w:val="006905AA"/>
    <w:rsid w:val="00691A2E"/>
    <w:rsid w:val="00691D21"/>
    <w:rsid w:val="00693447"/>
    <w:rsid w:val="0069780B"/>
    <w:rsid w:val="00697EA7"/>
    <w:rsid w:val="006A04FF"/>
    <w:rsid w:val="006A1D32"/>
    <w:rsid w:val="006A27A2"/>
    <w:rsid w:val="006A4FA4"/>
    <w:rsid w:val="006A5C9D"/>
    <w:rsid w:val="006A72ED"/>
    <w:rsid w:val="006B3CC8"/>
    <w:rsid w:val="006B636D"/>
    <w:rsid w:val="006B7DE1"/>
    <w:rsid w:val="006C2990"/>
    <w:rsid w:val="006C2ECF"/>
    <w:rsid w:val="006C463A"/>
    <w:rsid w:val="006C57D7"/>
    <w:rsid w:val="006D41E4"/>
    <w:rsid w:val="006D4F85"/>
    <w:rsid w:val="006D6EE0"/>
    <w:rsid w:val="006E54A1"/>
    <w:rsid w:val="006F017F"/>
    <w:rsid w:val="006F15C0"/>
    <w:rsid w:val="006F6454"/>
    <w:rsid w:val="006F64DB"/>
    <w:rsid w:val="00705ACA"/>
    <w:rsid w:val="00707598"/>
    <w:rsid w:val="00710FAE"/>
    <w:rsid w:val="00712D0D"/>
    <w:rsid w:val="007136C6"/>
    <w:rsid w:val="00721AE6"/>
    <w:rsid w:val="007453EC"/>
    <w:rsid w:val="00745CD2"/>
    <w:rsid w:val="00753B70"/>
    <w:rsid w:val="00757DA0"/>
    <w:rsid w:val="00765631"/>
    <w:rsid w:val="00766A01"/>
    <w:rsid w:val="00770EC7"/>
    <w:rsid w:val="00770FC9"/>
    <w:rsid w:val="00792912"/>
    <w:rsid w:val="007932E5"/>
    <w:rsid w:val="0079406A"/>
    <w:rsid w:val="0079415F"/>
    <w:rsid w:val="0079436E"/>
    <w:rsid w:val="00794FA8"/>
    <w:rsid w:val="0079746F"/>
    <w:rsid w:val="007B0361"/>
    <w:rsid w:val="007B12E6"/>
    <w:rsid w:val="007B42DF"/>
    <w:rsid w:val="007C03EB"/>
    <w:rsid w:val="007C17DE"/>
    <w:rsid w:val="007C2874"/>
    <w:rsid w:val="007C46D8"/>
    <w:rsid w:val="007E29D7"/>
    <w:rsid w:val="007E3322"/>
    <w:rsid w:val="00806A85"/>
    <w:rsid w:val="00810FCA"/>
    <w:rsid w:val="0081461A"/>
    <w:rsid w:val="00815188"/>
    <w:rsid w:val="00816354"/>
    <w:rsid w:val="00825C9D"/>
    <w:rsid w:val="00825D62"/>
    <w:rsid w:val="0083021E"/>
    <w:rsid w:val="00830812"/>
    <w:rsid w:val="00830A71"/>
    <w:rsid w:val="00830DC1"/>
    <w:rsid w:val="0083205E"/>
    <w:rsid w:val="008501A7"/>
    <w:rsid w:val="00851BC7"/>
    <w:rsid w:val="00856F8C"/>
    <w:rsid w:val="00864C1F"/>
    <w:rsid w:val="008662AE"/>
    <w:rsid w:val="008708C1"/>
    <w:rsid w:val="00874F63"/>
    <w:rsid w:val="008778A7"/>
    <w:rsid w:val="008819B3"/>
    <w:rsid w:val="008836BF"/>
    <w:rsid w:val="0089072D"/>
    <w:rsid w:val="00890A4A"/>
    <w:rsid w:val="008920EF"/>
    <w:rsid w:val="008A0B43"/>
    <w:rsid w:val="008A4B5B"/>
    <w:rsid w:val="008B09EF"/>
    <w:rsid w:val="008E132C"/>
    <w:rsid w:val="008E7A29"/>
    <w:rsid w:val="008F3DF7"/>
    <w:rsid w:val="008F6F2B"/>
    <w:rsid w:val="009000FB"/>
    <w:rsid w:val="00900691"/>
    <w:rsid w:val="00900735"/>
    <w:rsid w:val="009033C7"/>
    <w:rsid w:val="00911458"/>
    <w:rsid w:val="009144CC"/>
    <w:rsid w:val="00920CD2"/>
    <w:rsid w:val="0092603E"/>
    <w:rsid w:val="0092691E"/>
    <w:rsid w:val="00930BDD"/>
    <w:rsid w:val="009312C0"/>
    <w:rsid w:val="0093145D"/>
    <w:rsid w:val="00937937"/>
    <w:rsid w:val="0094371B"/>
    <w:rsid w:val="00950161"/>
    <w:rsid w:val="009667CB"/>
    <w:rsid w:val="00973A33"/>
    <w:rsid w:val="00977C3D"/>
    <w:rsid w:val="00981CE4"/>
    <w:rsid w:val="00981F84"/>
    <w:rsid w:val="00983062"/>
    <w:rsid w:val="00985A95"/>
    <w:rsid w:val="00987867"/>
    <w:rsid w:val="00987FE0"/>
    <w:rsid w:val="009912F2"/>
    <w:rsid w:val="009A2EB1"/>
    <w:rsid w:val="009A5615"/>
    <w:rsid w:val="009A7833"/>
    <w:rsid w:val="009B0CC5"/>
    <w:rsid w:val="009B2F31"/>
    <w:rsid w:val="009B33AD"/>
    <w:rsid w:val="009B3561"/>
    <w:rsid w:val="009B435E"/>
    <w:rsid w:val="009B52E9"/>
    <w:rsid w:val="009B7A91"/>
    <w:rsid w:val="009C290B"/>
    <w:rsid w:val="009C4922"/>
    <w:rsid w:val="009C5574"/>
    <w:rsid w:val="009C7B20"/>
    <w:rsid w:val="009D1DC7"/>
    <w:rsid w:val="009D2D63"/>
    <w:rsid w:val="009D3106"/>
    <w:rsid w:val="009D5D8A"/>
    <w:rsid w:val="009D7813"/>
    <w:rsid w:val="009D7CFE"/>
    <w:rsid w:val="009F01F2"/>
    <w:rsid w:val="009F0C7A"/>
    <w:rsid w:val="00A061A6"/>
    <w:rsid w:val="00A17F7F"/>
    <w:rsid w:val="00A20196"/>
    <w:rsid w:val="00A20D78"/>
    <w:rsid w:val="00A215A9"/>
    <w:rsid w:val="00A30AD3"/>
    <w:rsid w:val="00A3189E"/>
    <w:rsid w:val="00A4360E"/>
    <w:rsid w:val="00A546BE"/>
    <w:rsid w:val="00A56F53"/>
    <w:rsid w:val="00A6075D"/>
    <w:rsid w:val="00A62E4D"/>
    <w:rsid w:val="00A67279"/>
    <w:rsid w:val="00A731F4"/>
    <w:rsid w:val="00A74033"/>
    <w:rsid w:val="00A75FE9"/>
    <w:rsid w:val="00A852CC"/>
    <w:rsid w:val="00A94E53"/>
    <w:rsid w:val="00A954F6"/>
    <w:rsid w:val="00AA055C"/>
    <w:rsid w:val="00AA18BA"/>
    <w:rsid w:val="00AA3532"/>
    <w:rsid w:val="00AB59CC"/>
    <w:rsid w:val="00AD2D1B"/>
    <w:rsid w:val="00AD2E44"/>
    <w:rsid w:val="00AD304B"/>
    <w:rsid w:val="00AD7303"/>
    <w:rsid w:val="00AE1B11"/>
    <w:rsid w:val="00AE2FD9"/>
    <w:rsid w:val="00AF194A"/>
    <w:rsid w:val="00B01FE7"/>
    <w:rsid w:val="00B064A5"/>
    <w:rsid w:val="00B069A1"/>
    <w:rsid w:val="00B06CB9"/>
    <w:rsid w:val="00B1240A"/>
    <w:rsid w:val="00B178DD"/>
    <w:rsid w:val="00B26AA0"/>
    <w:rsid w:val="00B35F50"/>
    <w:rsid w:val="00B40328"/>
    <w:rsid w:val="00B40F97"/>
    <w:rsid w:val="00B5545B"/>
    <w:rsid w:val="00B57A59"/>
    <w:rsid w:val="00B65603"/>
    <w:rsid w:val="00B65790"/>
    <w:rsid w:val="00B66307"/>
    <w:rsid w:val="00B82A1C"/>
    <w:rsid w:val="00B847FD"/>
    <w:rsid w:val="00B85C7B"/>
    <w:rsid w:val="00B909FB"/>
    <w:rsid w:val="00BB234C"/>
    <w:rsid w:val="00BB3288"/>
    <w:rsid w:val="00BB5A39"/>
    <w:rsid w:val="00BB7E11"/>
    <w:rsid w:val="00BC23B2"/>
    <w:rsid w:val="00BC24C0"/>
    <w:rsid w:val="00BC3A2F"/>
    <w:rsid w:val="00BD350C"/>
    <w:rsid w:val="00BD79E5"/>
    <w:rsid w:val="00BE02F3"/>
    <w:rsid w:val="00BE3299"/>
    <w:rsid w:val="00BE42E9"/>
    <w:rsid w:val="00BE5186"/>
    <w:rsid w:val="00BF66C8"/>
    <w:rsid w:val="00C06D85"/>
    <w:rsid w:val="00C06E94"/>
    <w:rsid w:val="00C07519"/>
    <w:rsid w:val="00C114D0"/>
    <w:rsid w:val="00C17AE0"/>
    <w:rsid w:val="00C17CE3"/>
    <w:rsid w:val="00C218DA"/>
    <w:rsid w:val="00C232A8"/>
    <w:rsid w:val="00C256F5"/>
    <w:rsid w:val="00C3375E"/>
    <w:rsid w:val="00C33D5A"/>
    <w:rsid w:val="00C34289"/>
    <w:rsid w:val="00C35F03"/>
    <w:rsid w:val="00C36211"/>
    <w:rsid w:val="00C420C5"/>
    <w:rsid w:val="00C45D4C"/>
    <w:rsid w:val="00C50D3E"/>
    <w:rsid w:val="00C56514"/>
    <w:rsid w:val="00C644F8"/>
    <w:rsid w:val="00C65F70"/>
    <w:rsid w:val="00C749FD"/>
    <w:rsid w:val="00C80992"/>
    <w:rsid w:val="00C81C06"/>
    <w:rsid w:val="00C84B5A"/>
    <w:rsid w:val="00CA773D"/>
    <w:rsid w:val="00CB53FF"/>
    <w:rsid w:val="00CB76C3"/>
    <w:rsid w:val="00CC2C27"/>
    <w:rsid w:val="00CC777D"/>
    <w:rsid w:val="00CD0BE4"/>
    <w:rsid w:val="00CD77D7"/>
    <w:rsid w:val="00CE03D8"/>
    <w:rsid w:val="00CE160A"/>
    <w:rsid w:val="00D06E32"/>
    <w:rsid w:val="00D0727A"/>
    <w:rsid w:val="00D20CCD"/>
    <w:rsid w:val="00D24B0C"/>
    <w:rsid w:val="00D26B1C"/>
    <w:rsid w:val="00D32FBD"/>
    <w:rsid w:val="00D34A60"/>
    <w:rsid w:val="00D45CC4"/>
    <w:rsid w:val="00D53E50"/>
    <w:rsid w:val="00D540D8"/>
    <w:rsid w:val="00D56840"/>
    <w:rsid w:val="00D70F0F"/>
    <w:rsid w:val="00D71CEF"/>
    <w:rsid w:val="00D75A6A"/>
    <w:rsid w:val="00D76AB1"/>
    <w:rsid w:val="00D80C4D"/>
    <w:rsid w:val="00D80C88"/>
    <w:rsid w:val="00D855F1"/>
    <w:rsid w:val="00D85856"/>
    <w:rsid w:val="00D8756B"/>
    <w:rsid w:val="00D92AB5"/>
    <w:rsid w:val="00D92E5A"/>
    <w:rsid w:val="00D94AEE"/>
    <w:rsid w:val="00DA3B5C"/>
    <w:rsid w:val="00DA43CC"/>
    <w:rsid w:val="00DB3833"/>
    <w:rsid w:val="00DB436B"/>
    <w:rsid w:val="00DE0FAF"/>
    <w:rsid w:val="00DE6D51"/>
    <w:rsid w:val="00DF7F0B"/>
    <w:rsid w:val="00E0255A"/>
    <w:rsid w:val="00E149F3"/>
    <w:rsid w:val="00E16A6E"/>
    <w:rsid w:val="00E21CFF"/>
    <w:rsid w:val="00E23C9F"/>
    <w:rsid w:val="00E24BB1"/>
    <w:rsid w:val="00E26A98"/>
    <w:rsid w:val="00E300D9"/>
    <w:rsid w:val="00E31FAB"/>
    <w:rsid w:val="00E3451E"/>
    <w:rsid w:val="00E35420"/>
    <w:rsid w:val="00E40E45"/>
    <w:rsid w:val="00E4197C"/>
    <w:rsid w:val="00E426E3"/>
    <w:rsid w:val="00E5427B"/>
    <w:rsid w:val="00E56D9F"/>
    <w:rsid w:val="00E5749B"/>
    <w:rsid w:val="00E651C5"/>
    <w:rsid w:val="00E73E5A"/>
    <w:rsid w:val="00E77B64"/>
    <w:rsid w:val="00E87435"/>
    <w:rsid w:val="00E8784A"/>
    <w:rsid w:val="00E9012E"/>
    <w:rsid w:val="00E92A71"/>
    <w:rsid w:val="00EC20CD"/>
    <w:rsid w:val="00ED226B"/>
    <w:rsid w:val="00ED4D02"/>
    <w:rsid w:val="00ED5925"/>
    <w:rsid w:val="00EF301C"/>
    <w:rsid w:val="00EF7B30"/>
    <w:rsid w:val="00F01193"/>
    <w:rsid w:val="00F0383A"/>
    <w:rsid w:val="00F0739E"/>
    <w:rsid w:val="00F1604C"/>
    <w:rsid w:val="00F1795B"/>
    <w:rsid w:val="00F2372D"/>
    <w:rsid w:val="00F25208"/>
    <w:rsid w:val="00F4126D"/>
    <w:rsid w:val="00F41E1E"/>
    <w:rsid w:val="00F42964"/>
    <w:rsid w:val="00F44946"/>
    <w:rsid w:val="00F44D17"/>
    <w:rsid w:val="00F51FF5"/>
    <w:rsid w:val="00F5648C"/>
    <w:rsid w:val="00F61ACD"/>
    <w:rsid w:val="00F67217"/>
    <w:rsid w:val="00F74D9B"/>
    <w:rsid w:val="00F7501B"/>
    <w:rsid w:val="00F76F84"/>
    <w:rsid w:val="00F83BA4"/>
    <w:rsid w:val="00F918AE"/>
    <w:rsid w:val="00F91A80"/>
    <w:rsid w:val="00F92C4F"/>
    <w:rsid w:val="00F93224"/>
    <w:rsid w:val="00F9480F"/>
    <w:rsid w:val="00FA006E"/>
    <w:rsid w:val="00FB6D22"/>
    <w:rsid w:val="00FB75EB"/>
    <w:rsid w:val="00FC1363"/>
    <w:rsid w:val="00FD6F5A"/>
    <w:rsid w:val="00FD7F4C"/>
    <w:rsid w:val="00FE3F53"/>
    <w:rsid w:val="00FE548D"/>
    <w:rsid w:val="00FE77A0"/>
    <w:rsid w:val="00FF6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9D"/>
    <w:pPr>
      <w:spacing w:line="240" w:lineRule="auto"/>
    </w:pPr>
    <w:rPr>
      <w:rFonts w:asciiTheme="minorBidi" w:hAnsiTheme="minorBidi"/>
    </w:rPr>
  </w:style>
  <w:style w:type="paragraph" w:styleId="Heading1">
    <w:name w:val="heading 1"/>
    <w:basedOn w:val="Normal"/>
    <w:next w:val="Normal"/>
    <w:link w:val="Heading1Char"/>
    <w:uiPriority w:val="9"/>
    <w:qFormat/>
    <w:rsid w:val="00A954F6"/>
    <w:pPr>
      <w:keepNext/>
      <w:keepLines/>
      <w:spacing w:before="480" w:after="0"/>
      <w:outlineLvl w:val="0"/>
    </w:pPr>
    <w:rPr>
      <w:rFonts w:eastAsiaTheme="majorEastAsia" w:cstheme="majorBidi"/>
      <w:b/>
      <w:bCs/>
      <w:sz w:val="28"/>
      <w:szCs w:val="28"/>
    </w:rPr>
  </w:style>
  <w:style w:type="paragraph" w:styleId="Heading2">
    <w:name w:val="heading 2"/>
    <w:basedOn w:val="Heading1"/>
    <w:next w:val="Normal"/>
    <w:link w:val="Heading2Char"/>
    <w:qFormat/>
    <w:rsid w:val="00A954F6"/>
    <w:pPr>
      <w:keepLines w:val="0"/>
      <w:adjustRightInd w:val="0"/>
      <w:snapToGrid w:val="0"/>
      <w:spacing w:before="220" w:after="100"/>
      <w:outlineLvl w:val="1"/>
    </w:pPr>
    <w:rPr>
      <w:rFonts w:eastAsia="Times New Roman" w:cs="Times New Roman"/>
      <w:bCs w:val="0"/>
      <w:color w:val="000000"/>
      <w:sz w:val="22"/>
      <w:szCs w:val="20"/>
      <w:lang w:eastAsia="nl-NL"/>
    </w:rPr>
  </w:style>
  <w:style w:type="paragraph" w:styleId="Heading3">
    <w:name w:val="heading 3"/>
    <w:basedOn w:val="Heading2"/>
    <w:next w:val="Normal"/>
    <w:link w:val="Heading3Char"/>
    <w:qFormat/>
    <w:rsid w:val="00825C9D"/>
    <w:pPr>
      <w:tabs>
        <w:tab w:val="num" w:pos="567"/>
        <w:tab w:val="left" w:pos="992"/>
      </w:tabs>
      <w:ind w:left="567" w:hanging="567"/>
      <w:outlineLvl w:val="2"/>
    </w:pPr>
    <w:rPr>
      <w:b w:val="0"/>
      <w:i/>
      <w:lang w:eastAsia="en-US"/>
    </w:rPr>
  </w:style>
  <w:style w:type="paragraph" w:styleId="Heading4">
    <w:name w:val="heading 4"/>
    <w:basedOn w:val="Heading3"/>
    <w:next w:val="Normal"/>
    <w:link w:val="Heading4Char"/>
    <w:qFormat/>
    <w:rsid w:val="00825C9D"/>
    <w:pPr>
      <w:tabs>
        <w:tab w:val="clear" w:pos="567"/>
      </w:tabs>
      <w:ind w:left="992" w:hanging="992"/>
      <w:outlineLvl w:val="3"/>
    </w:pPr>
    <w:rPr>
      <w:i w:val="0"/>
    </w:rPr>
  </w:style>
  <w:style w:type="paragraph" w:styleId="Heading5">
    <w:name w:val="heading 5"/>
    <w:basedOn w:val="Heading4"/>
    <w:next w:val="Normal"/>
    <w:link w:val="Heading5Char"/>
    <w:qFormat/>
    <w:rsid w:val="00825C9D"/>
    <w:pPr>
      <w:tabs>
        <w:tab w:val="clear" w:pos="992"/>
        <w:tab w:val="left" w:pos="1134"/>
      </w:tabs>
      <w:ind w:left="1134" w:hanging="1134"/>
      <w:outlineLvl w:val="4"/>
    </w:pPr>
    <w:rPr>
      <w:i/>
    </w:rPr>
  </w:style>
  <w:style w:type="paragraph" w:styleId="Heading6">
    <w:name w:val="heading 6"/>
    <w:basedOn w:val="Heading5"/>
    <w:next w:val="Normal"/>
    <w:link w:val="Heading6Char"/>
    <w:qFormat/>
    <w:rsid w:val="00145CDC"/>
    <w:pPr>
      <w:numPr>
        <w:ilvl w:val="5"/>
        <w:numId w:val="4"/>
      </w:numPr>
      <w:spacing w:before="180" w:after="60"/>
      <w:outlineLvl w:val="5"/>
    </w:pPr>
    <w:rPr>
      <w:i w:val="0"/>
    </w:rPr>
  </w:style>
  <w:style w:type="paragraph" w:styleId="Heading7">
    <w:name w:val="heading 7"/>
    <w:basedOn w:val="Heading6"/>
    <w:next w:val="Normal"/>
    <w:link w:val="Heading7Char"/>
    <w:qFormat/>
    <w:rsid w:val="00145CDC"/>
    <w:pPr>
      <w:numPr>
        <w:ilvl w:val="6"/>
      </w:numPr>
      <w:spacing w:before="220" w:after="100"/>
      <w:outlineLvl w:val="6"/>
    </w:pPr>
    <w:rPr>
      <w:b/>
      <w:lang w:eastAsia="nl-NL"/>
    </w:rPr>
  </w:style>
  <w:style w:type="paragraph" w:styleId="Heading8">
    <w:name w:val="heading 8"/>
    <w:basedOn w:val="Heading7"/>
    <w:next w:val="Normal"/>
    <w:link w:val="Heading8Char"/>
    <w:qFormat/>
    <w:rsid w:val="00145CDC"/>
    <w:pPr>
      <w:numPr>
        <w:ilvl w:val="7"/>
      </w:numPr>
      <w:outlineLvl w:val="7"/>
    </w:pPr>
    <w:rPr>
      <w:b w:val="0"/>
      <w:i/>
    </w:rPr>
  </w:style>
  <w:style w:type="paragraph" w:styleId="Heading9">
    <w:name w:val="heading 9"/>
    <w:basedOn w:val="Heading8"/>
    <w:next w:val="Normal"/>
    <w:link w:val="Heading9Char"/>
    <w:qFormat/>
    <w:rsid w:val="00145CDC"/>
    <w:pPr>
      <w:numPr>
        <w:ilvl w:val="8"/>
      </w:numPr>
      <w:outlineLvl w:val="8"/>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226B"/>
    <w:pPr>
      <w:tabs>
        <w:tab w:val="center" w:pos="4513"/>
        <w:tab w:val="right" w:pos="9026"/>
      </w:tabs>
      <w:spacing w:after="0"/>
    </w:pPr>
  </w:style>
  <w:style w:type="character" w:customStyle="1" w:styleId="HeaderChar">
    <w:name w:val="Header Char"/>
    <w:basedOn w:val="DefaultParagraphFont"/>
    <w:link w:val="Header"/>
    <w:uiPriority w:val="99"/>
    <w:semiHidden/>
    <w:rsid w:val="00ED226B"/>
  </w:style>
  <w:style w:type="paragraph" w:styleId="Footer">
    <w:name w:val="footer"/>
    <w:basedOn w:val="Normal"/>
    <w:link w:val="FooterChar"/>
    <w:uiPriority w:val="99"/>
    <w:unhideWhenUsed/>
    <w:rsid w:val="00ED226B"/>
    <w:pPr>
      <w:tabs>
        <w:tab w:val="center" w:pos="4513"/>
        <w:tab w:val="right" w:pos="9026"/>
      </w:tabs>
      <w:spacing w:after="0"/>
    </w:pPr>
  </w:style>
  <w:style w:type="character" w:customStyle="1" w:styleId="FooterChar">
    <w:name w:val="Footer Char"/>
    <w:basedOn w:val="DefaultParagraphFont"/>
    <w:link w:val="Footer"/>
    <w:uiPriority w:val="99"/>
    <w:rsid w:val="00ED226B"/>
  </w:style>
  <w:style w:type="paragraph" w:styleId="BalloonText">
    <w:name w:val="Balloon Text"/>
    <w:basedOn w:val="Normal"/>
    <w:link w:val="BalloonTextChar"/>
    <w:uiPriority w:val="99"/>
    <w:semiHidden/>
    <w:unhideWhenUsed/>
    <w:rsid w:val="00ED2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6B"/>
    <w:rPr>
      <w:rFonts w:ascii="Tahoma" w:hAnsi="Tahoma" w:cs="Tahoma"/>
      <w:sz w:val="16"/>
      <w:szCs w:val="16"/>
    </w:rPr>
  </w:style>
  <w:style w:type="paragraph" w:styleId="ListParagraph">
    <w:name w:val="List Paragraph"/>
    <w:basedOn w:val="Normal"/>
    <w:uiPriority w:val="34"/>
    <w:qFormat/>
    <w:rsid w:val="00977C3D"/>
    <w:pPr>
      <w:ind w:left="720"/>
      <w:contextualSpacing/>
    </w:pPr>
  </w:style>
  <w:style w:type="character" w:customStyle="1" w:styleId="Heading1Char">
    <w:name w:val="Heading 1 Char"/>
    <w:basedOn w:val="DefaultParagraphFont"/>
    <w:link w:val="Heading1"/>
    <w:uiPriority w:val="9"/>
    <w:rsid w:val="00825C9D"/>
    <w:rPr>
      <w:rFonts w:asciiTheme="minorBidi" w:eastAsiaTheme="majorEastAsia" w:hAnsiTheme="minorBidi" w:cstheme="majorBidi"/>
      <w:b/>
      <w:bCs/>
      <w:sz w:val="28"/>
      <w:szCs w:val="28"/>
    </w:rPr>
  </w:style>
  <w:style w:type="paragraph" w:styleId="TOCHeading">
    <w:name w:val="TOC Heading"/>
    <w:basedOn w:val="Heading1"/>
    <w:next w:val="Normal"/>
    <w:uiPriority w:val="39"/>
    <w:unhideWhenUsed/>
    <w:qFormat/>
    <w:rsid w:val="00536020"/>
    <w:pPr>
      <w:outlineLvl w:val="9"/>
    </w:pPr>
    <w:rPr>
      <w:lang w:val="en-US"/>
    </w:rPr>
  </w:style>
  <w:style w:type="paragraph" w:styleId="TOC2">
    <w:name w:val="toc 2"/>
    <w:basedOn w:val="Normal"/>
    <w:next w:val="Normal"/>
    <w:autoRedefine/>
    <w:uiPriority w:val="39"/>
    <w:unhideWhenUsed/>
    <w:qFormat/>
    <w:rsid w:val="00536020"/>
    <w:pPr>
      <w:spacing w:after="100"/>
      <w:ind w:left="220"/>
    </w:pPr>
    <w:rPr>
      <w:rFonts w:eastAsiaTheme="minorEastAsia"/>
      <w:lang w:val="en-US"/>
    </w:rPr>
  </w:style>
  <w:style w:type="paragraph" w:styleId="TOC1">
    <w:name w:val="toc 1"/>
    <w:basedOn w:val="Normal"/>
    <w:next w:val="Normal"/>
    <w:autoRedefine/>
    <w:uiPriority w:val="39"/>
    <w:unhideWhenUsed/>
    <w:qFormat/>
    <w:rsid w:val="00536020"/>
    <w:pPr>
      <w:spacing w:after="100"/>
    </w:pPr>
    <w:rPr>
      <w:rFonts w:eastAsiaTheme="minorEastAsia"/>
      <w:lang w:val="en-US"/>
    </w:rPr>
  </w:style>
  <w:style w:type="paragraph" w:styleId="TOC3">
    <w:name w:val="toc 3"/>
    <w:basedOn w:val="Normal"/>
    <w:next w:val="Normal"/>
    <w:autoRedefine/>
    <w:uiPriority w:val="39"/>
    <w:unhideWhenUsed/>
    <w:qFormat/>
    <w:rsid w:val="00536020"/>
    <w:pPr>
      <w:spacing w:after="100"/>
      <w:ind w:left="440"/>
    </w:pPr>
    <w:rPr>
      <w:rFonts w:eastAsiaTheme="minorEastAsia"/>
      <w:lang w:val="en-US"/>
    </w:rPr>
  </w:style>
  <w:style w:type="character" w:customStyle="1" w:styleId="Heading2Char">
    <w:name w:val="Heading 2 Char"/>
    <w:basedOn w:val="DefaultParagraphFont"/>
    <w:link w:val="Heading2"/>
    <w:rsid w:val="00145CDC"/>
    <w:rPr>
      <w:rFonts w:asciiTheme="minorBidi" w:eastAsia="Times New Roman" w:hAnsiTheme="minorBidi" w:cs="Times New Roman"/>
      <w:b/>
      <w:color w:val="000000"/>
      <w:szCs w:val="20"/>
      <w:lang w:eastAsia="nl-NL"/>
    </w:rPr>
  </w:style>
  <w:style w:type="character" w:customStyle="1" w:styleId="Heading3Char">
    <w:name w:val="Heading 3 Char"/>
    <w:basedOn w:val="DefaultParagraphFont"/>
    <w:link w:val="Heading3"/>
    <w:rsid w:val="00825C9D"/>
    <w:rPr>
      <w:rFonts w:ascii="Futura Medium" w:eastAsia="Times New Roman" w:hAnsi="Futura Medium" w:cs="Times New Roman"/>
      <w:i/>
      <w:color w:val="000000"/>
      <w:sz w:val="24"/>
      <w:szCs w:val="20"/>
    </w:rPr>
  </w:style>
  <w:style w:type="character" w:customStyle="1" w:styleId="Heading4Char">
    <w:name w:val="Heading 4 Char"/>
    <w:basedOn w:val="DefaultParagraphFont"/>
    <w:link w:val="Heading4"/>
    <w:rsid w:val="00825C9D"/>
    <w:rPr>
      <w:rFonts w:ascii="Futura Medium" w:eastAsia="Times New Roman" w:hAnsi="Futura Medium" w:cs="Times New Roman"/>
      <w:color w:val="000000"/>
      <w:sz w:val="24"/>
      <w:szCs w:val="20"/>
    </w:rPr>
  </w:style>
  <w:style w:type="character" w:customStyle="1" w:styleId="Heading5Char">
    <w:name w:val="Heading 5 Char"/>
    <w:basedOn w:val="DefaultParagraphFont"/>
    <w:link w:val="Heading5"/>
    <w:rsid w:val="00825C9D"/>
    <w:rPr>
      <w:rFonts w:ascii="Futura Medium" w:eastAsia="Times New Roman" w:hAnsi="Futura Medium" w:cs="Times New Roman"/>
      <w:i/>
      <w:color w:val="000000"/>
      <w:sz w:val="24"/>
      <w:szCs w:val="20"/>
    </w:rPr>
  </w:style>
  <w:style w:type="paragraph" w:styleId="Caption">
    <w:name w:val="caption"/>
    <w:basedOn w:val="Normal"/>
    <w:next w:val="Normal"/>
    <w:uiPriority w:val="35"/>
    <w:qFormat/>
    <w:rsid w:val="00825C9D"/>
    <w:pPr>
      <w:adjustRightInd w:val="0"/>
      <w:spacing w:before="120" w:after="120"/>
      <w:ind w:left="1418" w:hanging="1418"/>
    </w:pPr>
    <w:rPr>
      <w:rFonts w:ascii="Futura Medium" w:eastAsia="Times New Roman" w:hAnsi="Futura Medium" w:cs="Times New Roman"/>
      <w:b/>
      <w:color w:val="000000"/>
      <w:szCs w:val="20"/>
    </w:rPr>
  </w:style>
  <w:style w:type="table" w:styleId="TableGrid">
    <w:name w:val="Table Grid"/>
    <w:basedOn w:val="TableNormal"/>
    <w:uiPriority w:val="59"/>
    <w:rsid w:val="00825C9D"/>
    <w:pPr>
      <w:spacing w:before="60" w:after="60" w:line="240" w:lineRule="auto"/>
    </w:pPr>
    <w:rPr>
      <w:rFonts w:ascii="Times New Roman" w:eastAsia="Times New Roman" w:hAnsi="Times New Roman" w:cs="Times New Roman"/>
      <w:sz w:val="20"/>
      <w:szCs w:val="20"/>
      <w:lang w:val="nl-NL"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145CDC"/>
    <w:rPr>
      <w:rFonts w:ascii="Futura Medium" w:eastAsia="Times New Roman" w:hAnsi="Futura Medium" w:cs="Times New Roman"/>
      <w:color w:val="000000"/>
      <w:sz w:val="24"/>
      <w:szCs w:val="20"/>
    </w:rPr>
  </w:style>
  <w:style w:type="character" w:customStyle="1" w:styleId="Heading7Char">
    <w:name w:val="Heading 7 Char"/>
    <w:basedOn w:val="DefaultParagraphFont"/>
    <w:link w:val="Heading7"/>
    <w:rsid w:val="00145CDC"/>
    <w:rPr>
      <w:rFonts w:ascii="Futura Medium" w:eastAsia="Times New Roman" w:hAnsi="Futura Medium" w:cs="Times New Roman"/>
      <w:b/>
      <w:color w:val="000000"/>
      <w:sz w:val="24"/>
      <w:szCs w:val="20"/>
      <w:lang w:eastAsia="nl-NL"/>
    </w:rPr>
  </w:style>
  <w:style w:type="character" w:customStyle="1" w:styleId="Heading8Char">
    <w:name w:val="Heading 8 Char"/>
    <w:basedOn w:val="DefaultParagraphFont"/>
    <w:link w:val="Heading8"/>
    <w:rsid w:val="00145CDC"/>
    <w:rPr>
      <w:rFonts w:ascii="Futura Medium" w:eastAsia="Times New Roman" w:hAnsi="Futura Medium" w:cs="Times New Roman"/>
      <w:i/>
      <w:color w:val="000000"/>
      <w:sz w:val="24"/>
      <w:szCs w:val="20"/>
      <w:lang w:eastAsia="nl-NL"/>
    </w:rPr>
  </w:style>
  <w:style w:type="character" w:customStyle="1" w:styleId="Heading9Char">
    <w:name w:val="Heading 9 Char"/>
    <w:basedOn w:val="DefaultParagraphFont"/>
    <w:link w:val="Heading9"/>
    <w:rsid w:val="00145CDC"/>
    <w:rPr>
      <w:rFonts w:ascii="Futura Medium" w:eastAsia="Times New Roman" w:hAnsi="Futura Medium" w:cs="Times New Roman"/>
      <w:color w:val="000000"/>
      <w:sz w:val="24"/>
      <w:szCs w:val="20"/>
      <w:u w:val="single"/>
      <w:lang w:eastAsia="nl-NL"/>
    </w:rPr>
  </w:style>
  <w:style w:type="paragraph" w:customStyle="1" w:styleId="AppendixHeading">
    <w:name w:val="AppendixHeading"/>
    <w:basedOn w:val="Heading1"/>
    <w:next w:val="Normal"/>
    <w:qFormat/>
    <w:rsid w:val="00145CDC"/>
    <w:pPr>
      <w:keepLines w:val="0"/>
      <w:pageBreakBefore/>
      <w:numPr>
        <w:numId w:val="4"/>
      </w:numPr>
      <w:tabs>
        <w:tab w:val="left" w:pos="1701"/>
      </w:tabs>
      <w:adjustRightInd w:val="0"/>
      <w:spacing w:before="220" w:after="100"/>
    </w:pPr>
    <w:rPr>
      <w:rFonts w:ascii="Futura Medium" w:eastAsia="Times New Roman" w:hAnsi="Futura Medium" w:cs="Times New Roman"/>
      <w:bCs w:val="0"/>
      <w:color w:val="000000"/>
      <w:szCs w:val="20"/>
      <w:lang w:eastAsia="nl-NL"/>
    </w:rPr>
  </w:style>
  <w:style w:type="paragraph" w:customStyle="1" w:styleId="AppendixHeading1">
    <w:name w:val="AppendixHeading1"/>
    <w:basedOn w:val="Heading2"/>
    <w:next w:val="Normal"/>
    <w:qFormat/>
    <w:rsid w:val="00145CDC"/>
    <w:pPr>
      <w:numPr>
        <w:ilvl w:val="1"/>
        <w:numId w:val="4"/>
      </w:numPr>
      <w:tabs>
        <w:tab w:val="left" w:pos="851"/>
      </w:tabs>
    </w:pPr>
    <w:rPr>
      <w:lang w:eastAsia="en-US"/>
    </w:rPr>
  </w:style>
  <w:style w:type="paragraph" w:customStyle="1" w:styleId="AppendixHeading2">
    <w:name w:val="AppendixHeading2"/>
    <w:basedOn w:val="Heading3"/>
    <w:next w:val="Normal"/>
    <w:qFormat/>
    <w:rsid w:val="00145CDC"/>
    <w:pPr>
      <w:numPr>
        <w:ilvl w:val="2"/>
        <w:numId w:val="4"/>
      </w:numPr>
    </w:pPr>
  </w:style>
  <w:style w:type="paragraph" w:customStyle="1" w:styleId="AppendixHeading3">
    <w:name w:val="AppendixHeading3"/>
    <w:basedOn w:val="Heading4"/>
    <w:next w:val="Normal"/>
    <w:qFormat/>
    <w:rsid w:val="00145CDC"/>
    <w:pPr>
      <w:numPr>
        <w:ilvl w:val="3"/>
        <w:numId w:val="4"/>
      </w:numPr>
      <w:tabs>
        <w:tab w:val="clear" w:pos="992"/>
        <w:tab w:val="left" w:pos="1134"/>
      </w:tabs>
    </w:pPr>
  </w:style>
  <w:style w:type="paragraph" w:customStyle="1" w:styleId="AppendixHeading4">
    <w:name w:val="AppendixHeading4"/>
    <w:basedOn w:val="Heading5"/>
    <w:next w:val="Normal"/>
    <w:rsid w:val="00145CDC"/>
    <w:pPr>
      <w:numPr>
        <w:ilvl w:val="4"/>
        <w:numId w:val="4"/>
      </w:numPr>
      <w:tabs>
        <w:tab w:val="clear" w:pos="1134"/>
        <w:tab w:val="left" w:pos="1276"/>
      </w:tabs>
    </w:pPr>
  </w:style>
  <w:style w:type="character" w:styleId="Hyperlink">
    <w:name w:val="Hyperlink"/>
    <w:basedOn w:val="DefaultParagraphFont"/>
    <w:uiPriority w:val="99"/>
    <w:unhideWhenUsed/>
    <w:rsid w:val="00145CDC"/>
    <w:rPr>
      <w:color w:val="0000FF" w:themeColor="hyperlink"/>
      <w:u w:val="single"/>
    </w:rPr>
  </w:style>
  <w:style w:type="character" w:styleId="Strong">
    <w:name w:val="Strong"/>
    <w:basedOn w:val="DefaultParagraphFont"/>
    <w:uiPriority w:val="22"/>
    <w:qFormat/>
    <w:rsid w:val="00A215A9"/>
    <w:rPr>
      <w:b/>
      <w:bCs/>
    </w:rPr>
  </w:style>
  <w:style w:type="paragraph" w:customStyle="1" w:styleId="Default">
    <w:name w:val="Default"/>
    <w:rsid w:val="00585E57"/>
    <w:pPr>
      <w:autoSpaceDE w:val="0"/>
      <w:autoSpaceDN w:val="0"/>
      <w:adjustRightInd w:val="0"/>
      <w:spacing w:after="0" w:line="240" w:lineRule="auto"/>
    </w:pPr>
    <w:rPr>
      <w:rFonts w:ascii="Arial" w:eastAsiaTheme="minorEastAsia" w:hAnsi="Arial" w:cs="Arial"/>
      <w:color w:val="000000"/>
      <w:sz w:val="24"/>
      <w:szCs w:val="24"/>
      <w:lang w:val="en-MY" w:eastAsia="zh-CN"/>
    </w:rPr>
  </w:style>
  <w:style w:type="paragraph" w:styleId="NoSpacing">
    <w:name w:val="No Spacing"/>
    <w:uiPriority w:val="1"/>
    <w:qFormat/>
    <w:rsid w:val="00F9480F"/>
    <w:pPr>
      <w:spacing w:after="0" w:line="240" w:lineRule="auto"/>
    </w:pPr>
  </w:style>
  <w:style w:type="paragraph" w:customStyle="1" w:styleId="MainBodyText">
    <w:name w:val="Main Body Text"/>
    <w:basedOn w:val="Normal"/>
    <w:rsid w:val="00C50D3E"/>
    <w:pPr>
      <w:keepNext/>
      <w:autoSpaceDE w:val="0"/>
      <w:autoSpaceDN w:val="0"/>
      <w:adjustRightInd w:val="0"/>
      <w:spacing w:after="240" w:line="280" w:lineRule="atLeast"/>
      <w:ind w:firstLine="360"/>
      <w:jc w:val="both"/>
      <w:outlineLvl w:val="0"/>
    </w:pPr>
    <w:rPr>
      <w:rFonts w:ascii="Arial" w:eastAsia="MS Mincho" w:hAnsi="Arial" w:cs="Times New Roman"/>
      <w:color w:val="000000"/>
      <w:sz w:val="20"/>
      <w:szCs w:val="24"/>
      <w:lang w:val="en-US"/>
    </w:rPr>
  </w:style>
  <w:style w:type="character" w:styleId="CommentReference">
    <w:name w:val="annotation reference"/>
    <w:basedOn w:val="DefaultParagraphFont"/>
    <w:uiPriority w:val="99"/>
    <w:semiHidden/>
    <w:unhideWhenUsed/>
    <w:rsid w:val="00C50D3E"/>
    <w:rPr>
      <w:sz w:val="16"/>
      <w:szCs w:val="16"/>
    </w:rPr>
  </w:style>
  <w:style w:type="paragraph" w:styleId="CommentText">
    <w:name w:val="annotation text"/>
    <w:basedOn w:val="Normal"/>
    <w:link w:val="CommentTextChar"/>
    <w:uiPriority w:val="99"/>
    <w:semiHidden/>
    <w:unhideWhenUsed/>
    <w:rsid w:val="00C50D3E"/>
    <w:pPr>
      <w:adjustRightInd w:val="0"/>
      <w:spacing w:before="60" w:after="60"/>
    </w:pPr>
    <w:rPr>
      <w:rFonts w:ascii="Futura Medium" w:eastAsia="Times New Roman" w:hAnsi="Futura Medium" w:cs="Times New Roman"/>
      <w:color w:val="000000"/>
      <w:sz w:val="20"/>
      <w:szCs w:val="20"/>
      <w:lang w:eastAsia="nl-NL"/>
    </w:rPr>
  </w:style>
  <w:style w:type="character" w:customStyle="1" w:styleId="CommentTextChar">
    <w:name w:val="Comment Text Char"/>
    <w:basedOn w:val="DefaultParagraphFont"/>
    <w:link w:val="CommentText"/>
    <w:uiPriority w:val="99"/>
    <w:semiHidden/>
    <w:rsid w:val="00C50D3E"/>
    <w:rPr>
      <w:rFonts w:ascii="Futura Medium" w:eastAsia="Times New Roman" w:hAnsi="Futura Medium" w:cs="Times New Roman"/>
      <w:color w:val="000000"/>
      <w:sz w:val="20"/>
      <w:szCs w:val="20"/>
      <w:lang w:eastAsia="nl-NL"/>
    </w:rPr>
  </w:style>
  <w:style w:type="paragraph" w:styleId="FootnoteText">
    <w:name w:val="footnote text"/>
    <w:basedOn w:val="Normal"/>
    <w:link w:val="FootnoteTextChar"/>
    <w:uiPriority w:val="99"/>
    <w:semiHidden/>
    <w:unhideWhenUsed/>
    <w:rsid w:val="00BD79E5"/>
    <w:pPr>
      <w:spacing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D79E5"/>
    <w:rPr>
      <w:rFonts w:ascii="Calibri" w:eastAsia="Calibri" w:hAnsi="Calibri" w:cs="Times New Roman"/>
      <w:sz w:val="20"/>
      <w:szCs w:val="20"/>
    </w:rPr>
  </w:style>
  <w:style w:type="character" w:styleId="FootnoteReference">
    <w:name w:val="footnote reference"/>
    <w:uiPriority w:val="99"/>
    <w:semiHidden/>
    <w:unhideWhenUsed/>
    <w:rsid w:val="00BD79E5"/>
    <w:rPr>
      <w:vertAlign w:val="superscript"/>
    </w:rPr>
  </w:style>
  <w:style w:type="paragraph" w:customStyle="1" w:styleId="HalfSpace">
    <w:name w:val="# Half Space"/>
    <w:rsid w:val="00361CC7"/>
    <w:pPr>
      <w:spacing w:after="0" w:line="140" w:lineRule="atLeast"/>
    </w:pPr>
    <w:rPr>
      <w:rFonts w:ascii="CGTimes" w:eastAsia="SimSun" w:hAnsi="CGTimes" w:cs="Times New Roman"/>
      <w:snapToGrid w:val="0"/>
      <w:sz w:val="12"/>
      <w:szCs w:val="20"/>
      <w:lang w:val="en-US"/>
    </w:rPr>
  </w:style>
  <w:style w:type="paragraph" w:customStyle="1" w:styleId="Author">
    <w:name w:val="' .Author"/>
    <w:next w:val="HalfSpace"/>
    <w:rsid w:val="00361CC7"/>
    <w:pPr>
      <w:spacing w:before="648" w:after="0" w:line="240" w:lineRule="auto"/>
      <w:ind w:left="1440"/>
    </w:pPr>
    <w:rPr>
      <w:rFonts w:ascii="Times New Roman" w:eastAsia="SimSun" w:hAnsi="Times New Roman" w:cs="Times New Roman"/>
      <w:b/>
      <w:snapToGrid w:val="0"/>
      <w:sz w:val="24"/>
      <w:szCs w:val="20"/>
      <w:lang w:val="en-US"/>
    </w:rPr>
  </w:style>
  <w:style w:type="paragraph" w:customStyle="1" w:styleId="TITLE">
    <w:name w:val="'  TITLE"/>
    <w:rsid w:val="00361CC7"/>
    <w:pPr>
      <w:spacing w:after="0" w:line="460" w:lineRule="exact"/>
    </w:pPr>
    <w:rPr>
      <w:rFonts w:ascii="ICC Title" w:eastAsia="SimSun" w:hAnsi="ICC Title" w:cs="Times New Roman"/>
      <w:snapToGrid w:val="0"/>
      <w:sz w:val="42"/>
      <w:szCs w:val="20"/>
      <w:lang w:val="en-US"/>
    </w:rPr>
  </w:style>
  <w:style w:type="table" w:customStyle="1" w:styleId="TableGrid1">
    <w:name w:val="Table Grid1"/>
    <w:basedOn w:val="TableNormal"/>
    <w:next w:val="TableGrid"/>
    <w:rsid w:val="006C463A"/>
    <w:pPr>
      <w:suppressAutoHyphens/>
      <w:spacing w:after="0" w:line="240" w:lineRule="auto"/>
    </w:pPr>
    <w:rPr>
      <w:rFonts w:ascii="Times New Roman" w:eastAsia="Times New Roman" w:hAnsi="Times New Roman" w:cs="Times New Roman"/>
      <w:sz w:val="20"/>
      <w:szCs w:val="20"/>
      <w:lang w:val="en-MY"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E3F53"/>
  </w:style>
  <w:style w:type="character" w:styleId="Emphasis">
    <w:name w:val="Emphasis"/>
    <w:basedOn w:val="DefaultParagraphFont"/>
    <w:qFormat/>
    <w:rsid w:val="00D56840"/>
    <w:rPr>
      <w:i/>
      <w:iCs/>
    </w:rPr>
  </w:style>
  <w:style w:type="character" w:styleId="IntenseEmphasis">
    <w:name w:val="Intense Emphasis"/>
    <w:basedOn w:val="DefaultParagraphFont"/>
    <w:uiPriority w:val="21"/>
    <w:qFormat/>
    <w:rsid w:val="00307B8B"/>
    <w:rPr>
      <w:b/>
      <w:bCs/>
      <w:i/>
      <w:iCs/>
      <w:color w:val="4F81BD" w:themeColor="accent1"/>
    </w:rPr>
  </w:style>
  <w:style w:type="paragraph" w:customStyle="1" w:styleId="te0">
    <w:name w:val="te0"/>
    <w:basedOn w:val="Normal"/>
    <w:rsid w:val="00342AD3"/>
    <w:pPr>
      <w:keepNext/>
      <w:keepLines/>
      <w:suppressAutoHyphens/>
      <w:spacing w:before="60" w:after="60"/>
    </w:pPr>
    <w:rPr>
      <w:rFonts w:ascii="Arial" w:eastAsia="Times New Roman" w:hAnsi="Arial" w:cs="Arial"/>
      <w:sz w:val="20"/>
      <w:szCs w:val="24"/>
      <w:lang w:val="de-DE" w:eastAsia="de-DE"/>
    </w:rPr>
  </w:style>
  <w:style w:type="paragraph" w:styleId="PlainText">
    <w:name w:val="Plain Text"/>
    <w:basedOn w:val="Normal"/>
    <w:link w:val="PlainTextChar"/>
    <w:uiPriority w:val="99"/>
    <w:semiHidden/>
    <w:unhideWhenUsed/>
    <w:rsid w:val="00D92AB5"/>
    <w:pPr>
      <w:spacing w:after="0"/>
    </w:pPr>
    <w:rPr>
      <w:rFonts w:ascii="Consolas" w:eastAsiaTheme="minorEastAsia" w:hAnsi="Consolas"/>
      <w:sz w:val="21"/>
      <w:szCs w:val="21"/>
      <w:lang w:val="en-MY" w:eastAsia="zh-CN"/>
    </w:rPr>
  </w:style>
  <w:style w:type="character" w:customStyle="1" w:styleId="PlainTextChar">
    <w:name w:val="Plain Text Char"/>
    <w:basedOn w:val="DefaultParagraphFont"/>
    <w:link w:val="PlainText"/>
    <w:uiPriority w:val="99"/>
    <w:semiHidden/>
    <w:rsid w:val="00D92AB5"/>
    <w:rPr>
      <w:rFonts w:ascii="Consolas" w:eastAsiaTheme="minorEastAsia" w:hAnsi="Consolas"/>
      <w:sz w:val="21"/>
      <w:szCs w:val="21"/>
      <w:lang w:val="en-MY" w:eastAsia="zh-CN"/>
    </w:rPr>
  </w:style>
  <w:style w:type="paragraph" w:styleId="CommentSubject">
    <w:name w:val="annotation subject"/>
    <w:basedOn w:val="CommentText"/>
    <w:next w:val="CommentText"/>
    <w:link w:val="CommentSubjectChar"/>
    <w:uiPriority w:val="99"/>
    <w:semiHidden/>
    <w:unhideWhenUsed/>
    <w:rsid w:val="008501A7"/>
    <w:pPr>
      <w:adjustRightInd/>
      <w:spacing w:before="0" w:after="200"/>
    </w:pPr>
    <w:rPr>
      <w:rFonts w:asciiTheme="minorBidi" w:eastAsiaTheme="minorHAnsi" w:hAnsiTheme="minorBidi" w:cstheme="minorBidi"/>
      <w:b/>
      <w:bCs/>
      <w:color w:val="auto"/>
      <w:lang w:eastAsia="en-US"/>
    </w:rPr>
  </w:style>
  <w:style w:type="character" w:customStyle="1" w:styleId="CommentSubjectChar">
    <w:name w:val="Comment Subject Char"/>
    <w:basedOn w:val="CommentTextChar"/>
    <w:link w:val="CommentSubject"/>
    <w:uiPriority w:val="99"/>
    <w:semiHidden/>
    <w:rsid w:val="008501A7"/>
    <w:rPr>
      <w:rFonts w:asciiTheme="minorBidi" w:eastAsia="Times New Roman" w:hAnsiTheme="minorBidi" w:cs="Times New Roman"/>
      <w:b/>
      <w:bCs/>
      <w:color w:val="000000"/>
      <w:sz w:val="20"/>
      <w:szCs w:val="20"/>
      <w:lang w:eastAsia="nl-NL"/>
    </w:rPr>
  </w:style>
  <w:style w:type="table" w:styleId="LightList-Accent3">
    <w:name w:val="Light List Accent 3"/>
    <w:basedOn w:val="TableNormal"/>
    <w:uiPriority w:val="61"/>
    <w:rsid w:val="00FF6FD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298844">
      <w:bodyDiv w:val="1"/>
      <w:marLeft w:val="0"/>
      <w:marRight w:val="0"/>
      <w:marTop w:val="0"/>
      <w:marBottom w:val="0"/>
      <w:divBdr>
        <w:top w:val="none" w:sz="0" w:space="0" w:color="auto"/>
        <w:left w:val="none" w:sz="0" w:space="0" w:color="auto"/>
        <w:bottom w:val="none" w:sz="0" w:space="0" w:color="auto"/>
        <w:right w:val="none" w:sz="0" w:space="0" w:color="auto"/>
      </w:divBdr>
      <w:divsChild>
        <w:div w:id="356779104">
          <w:marLeft w:val="806"/>
          <w:marRight w:val="0"/>
          <w:marTop w:val="120"/>
          <w:marBottom w:val="0"/>
          <w:divBdr>
            <w:top w:val="none" w:sz="0" w:space="0" w:color="auto"/>
            <w:left w:val="none" w:sz="0" w:space="0" w:color="auto"/>
            <w:bottom w:val="none" w:sz="0" w:space="0" w:color="auto"/>
            <w:right w:val="none" w:sz="0" w:space="0" w:color="auto"/>
          </w:divBdr>
        </w:div>
        <w:div w:id="1539665552">
          <w:marLeft w:val="806"/>
          <w:marRight w:val="0"/>
          <w:marTop w:val="120"/>
          <w:marBottom w:val="0"/>
          <w:divBdr>
            <w:top w:val="none" w:sz="0" w:space="0" w:color="auto"/>
            <w:left w:val="none" w:sz="0" w:space="0" w:color="auto"/>
            <w:bottom w:val="none" w:sz="0" w:space="0" w:color="auto"/>
            <w:right w:val="none" w:sz="0" w:space="0" w:color="auto"/>
          </w:divBdr>
        </w:div>
        <w:div w:id="547229517">
          <w:marLeft w:val="806"/>
          <w:marRight w:val="0"/>
          <w:marTop w:val="120"/>
          <w:marBottom w:val="0"/>
          <w:divBdr>
            <w:top w:val="none" w:sz="0" w:space="0" w:color="auto"/>
            <w:left w:val="none" w:sz="0" w:space="0" w:color="auto"/>
            <w:bottom w:val="none" w:sz="0" w:space="0" w:color="auto"/>
            <w:right w:val="none" w:sz="0" w:space="0" w:color="auto"/>
          </w:divBdr>
        </w:div>
        <w:div w:id="370570836">
          <w:marLeft w:val="806"/>
          <w:marRight w:val="0"/>
          <w:marTop w:val="120"/>
          <w:marBottom w:val="0"/>
          <w:divBdr>
            <w:top w:val="none" w:sz="0" w:space="0" w:color="auto"/>
            <w:left w:val="none" w:sz="0" w:space="0" w:color="auto"/>
            <w:bottom w:val="none" w:sz="0" w:space="0" w:color="auto"/>
            <w:right w:val="none" w:sz="0" w:space="0" w:color="auto"/>
          </w:divBdr>
        </w:div>
        <w:div w:id="295835682">
          <w:marLeft w:val="806"/>
          <w:marRight w:val="0"/>
          <w:marTop w:val="120"/>
          <w:marBottom w:val="0"/>
          <w:divBdr>
            <w:top w:val="none" w:sz="0" w:space="0" w:color="auto"/>
            <w:left w:val="none" w:sz="0" w:space="0" w:color="auto"/>
            <w:bottom w:val="none" w:sz="0" w:space="0" w:color="auto"/>
            <w:right w:val="none" w:sz="0" w:space="0" w:color="auto"/>
          </w:divBdr>
        </w:div>
        <w:div w:id="1815441553">
          <w:marLeft w:val="806"/>
          <w:marRight w:val="0"/>
          <w:marTop w:val="120"/>
          <w:marBottom w:val="0"/>
          <w:divBdr>
            <w:top w:val="none" w:sz="0" w:space="0" w:color="auto"/>
            <w:left w:val="none" w:sz="0" w:space="0" w:color="auto"/>
            <w:bottom w:val="none" w:sz="0" w:space="0" w:color="auto"/>
            <w:right w:val="none" w:sz="0" w:space="0" w:color="auto"/>
          </w:divBdr>
        </w:div>
        <w:div w:id="656809780">
          <w:marLeft w:val="806"/>
          <w:marRight w:val="0"/>
          <w:marTop w:val="120"/>
          <w:marBottom w:val="0"/>
          <w:divBdr>
            <w:top w:val="none" w:sz="0" w:space="0" w:color="auto"/>
            <w:left w:val="none" w:sz="0" w:space="0" w:color="auto"/>
            <w:bottom w:val="none" w:sz="0" w:space="0" w:color="auto"/>
            <w:right w:val="none" w:sz="0" w:space="0" w:color="auto"/>
          </w:divBdr>
        </w:div>
      </w:divsChild>
    </w:div>
    <w:div w:id="356542717">
      <w:bodyDiv w:val="1"/>
      <w:marLeft w:val="0"/>
      <w:marRight w:val="0"/>
      <w:marTop w:val="0"/>
      <w:marBottom w:val="0"/>
      <w:divBdr>
        <w:top w:val="none" w:sz="0" w:space="0" w:color="auto"/>
        <w:left w:val="none" w:sz="0" w:space="0" w:color="auto"/>
        <w:bottom w:val="none" w:sz="0" w:space="0" w:color="auto"/>
        <w:right w:val="none" w:sz="0" w:space="0" w:color="auto"/>
      </w:divBdr>
      <w:divsChild>
        <w:div w:id="953680684">
          <w:marLeft w:val="0"/>
          <w:marRight w:val="0"/>
          <w:marTop w:val="0"/>
          <w:marBottom w:val="240"/>
          <w:divBdr>
            <w:top w:val="none" w:sz="0" w:space="0" w:color="auto"/>
            <w:left w:val="none" w:sz="0" w:space="0" w:color="auto"/>
            <w:bottom w:val="none" w:sz="0" w:space="0" w:color="auto"/>
            <w:right w:val="none" w:sz="0" w:space="0" w:color="auto"/>
          </w:divBdr>
        </w:div>
        <w:div w:id="753865928">
          <w:marLeft w:val="0"/>
          <w:marRight w:val="0"/>
          <w:marTop w:val="0"/>
          <w:marBottom w:val="240"/>
          <w:divBdr>
            <w:top w:val="none" w:sz="0" w:space="0" w:color="auto"/>
            <w:left w:val="none" w:sz="0" w:space="0" w:color="auto"/>
            <w:bottom w:val="none" w:sz="0" w:space="0" w:color="auto"/>
            <w:right w:val="none" w:sz="0" w:space="0" w:color="auto"/>
          </w:divBdr>
        </w:div>
        <w:div w:id="1315452164">
          <w:marLeft w:val="0"/>
          <w:marRight w:val="0"/>
          <w:marTop w:val="0"/>
          <w:marBottom w:val="240"/>
          <w:divBdr>
            <w:top w:val="none" w:sz="0" w:space="0" w:color="auto"/>
            <w:left w:val="none" w:sz="0" w:space="0" w:color="auto"/>
            <w:bottom w:val="none" w:sz="0" w:space="0" w:color="auto"/>
            <w:right w:val="none" w:sz="0" w:space="0" w:color="auto"/>
          </w:divBdr>
        </w:div>
        <w:div w:id="1974478991">
          <w:marLeft w:val="0"/>
          <w:marRight w:val="0"/>
          <w:marTop w:val="0"/>
          <w:marBottom w:val="240"/>
          <w:divBdr>
            <w:top w:val="none" w:sz="0" w:space="0" w:color="auto"/>
            <w:left w:val="none" w:sz="0" w:space="0" w:color="auto"/>
            <w:bottom w:val="none" w:sz="0" w:space="0" w:color="auto"/>
            <w:right w:val="none" w:sz="0" w:space="0" w:color="auto"/>
          </w:divBdr>
        </w:div>
      </w:divsChild>
    </w:div>
    <w:div w:id="609170414">
      <w:bodyDiv w:val="1"/>
      <w:marLeft w:val="0"/>
      <w:marRight w:val="0"/>
      <w:marTop w:val="0"/>
      <w:marBottom w:val="0"/>
      <w:divBdr>
        <w:top w:val="none" w:sz="0" w:space="0" w:color="auto"/>
        <w:left w:val="none" w:sz="0" w:space="0" w:color="auto"/>
        <w:bottom w:val="none" w:sz="0" w:space="0" w:color="auto"/>
        <w:right w:val="none" w:sz="0" w:space="0" w:color="auto"/>
      </w:divBdr>
    </w:div>
    <w:div w:id="641273548">
      <w:bodyDiv w:val="1"/>
      <w:marLeft w:val="0"/>
      <w:marRight w:val="0"/>
      <w:marTop w:val="0"/>
      <w:marBottom w:val="0"/>
      <w:divBdr>
        <w:top w:val="none" w:sz="0" w:space="0" w:color="auto"/>
        <w:left w:val="none" w:sz="0" w:space="0" w:color="auto"/>
        <w:bottom w:val="none" w:sz="0" w:space="0" w:color="auto"/>
        <w:right w:val="none" w:sz="0" w:space="0" w:color="auto"/>
      </w:divBdr>
    </w:div>
    <w:div w:id="734356873">
      <w:bodyDiv w:val="1"/>
      <w:marLeft w:val="0"/>
      <w:marRight w:val="0"/>
      <w:marTop w:val="0"/>
      <w:marBottom w:val="0"/>
      <w:divBdr>
        <w:top w:val="none" w:sz="0" w:space="0" w:color="auto"/>
        <w:left w:val="none" w:sz="0" w:space="0" w:color="auto"/>
        <w:bottom w:val="none" w:sz="0" w:space="0" w:color="auto"/>
        <w:right w:val="none" w:sz="0" w:space="0" w:color="auto"/>
      </w:divBdr>
    </w:div>
    <w:div w:id="888801187">
      <w:bodyDiv w:val="1"/>
      <w:marLeft w:val="0"/>
      <w:marRight w:val="0"/>
      <w:marTop w:val="0"/>
      <w:marBottom w:val="0"/>
      <w:divBdr>
        <w:top w:val="none" w:sz="0" w:space="0" w:color="auto"/>
        <w:left w:val="none" w:sz="0" w:space="0" w:color="auto"/>
        <w:bottom w:val="none" w:sz="0" w:space="0" w:color="auto"/>
        <w:right w:val="none" w:sz="0" w:space="0" w:color="auto"/>
      </w:divBdr>
      <w:divsChild>
        <w:div w:id="1507480445">
          <w:marLeft w:val="0"/>
          <w:marRight w:val="0"/>
          <w:marTop w:val="0"/>
          <w:marBottom w:val="240"/>
          <w:divBdr>
            <w:top w:val="none" w:sz="0" w:space="0" w:color="auto"/>
            <w:left w:val="none" w:sz="0" w:space="0" w:color="auto"/>
            <w:bottom w:val="none" w:sz="0" w:space="0" w:color="auto"/>
            <w:right w:val="none" w:sz="0" w:space="0" w:color="auto"/>
          </w:divBdr>
        </w:div>
        <w:div w:id="2083485382">
          <w:marLeft w:val="0"/>
          <w:marRight w:val="0"/>
          <w:marTop w:val="0"/>
          <w:marBottom w:val="240"/>
          <w:divBdr>
            <w:top w:val="none" w:sz="0" w:space="0" w:color="auto"/>
            <w:left w:val="none" w:sz="0" w:space="0" w:color="auto"/>
            <w:bottom w:val="none" w:sz="0" w:space="0" w:color="auto"/>
            <w:right w:val="none" w:sz="0" w:space="0" w:color="auto"/>
          </w:divBdr>
        </w:div>
        <w:div w:id="974214878">
          <w:marLeft w:val="0"/>
          <w:marRight w:val="0"/>
          <w:marTop w:val="0"/>
          <w:marBottom w:val="240"/>
          <w:divBdr>
            <w:top w:val="none" w:sz="0" w:space="0" w:color="auto"/>
            <w:left w:val="none" w:sz="0" w:space="0" w:color="auto"/>
            <w:bottom w:val="none" w:sz="0" w:space="0" w:color="auto"/>
            <w:right w:val="none" w:sz="0" w:space="0" w:color="auto"/>
          </w:divBdr>
        </w:div>
      </w:divsChild>
    </w:div>
    <w:div w:id="925264304">
      <w:bodyDiv w:val="1"/>
      <w:marLeft w:val="0"/>
      <w:marRight w:val="0"/>
      <w:marTop w:val="0"/>
      <w:marBottom w:val="0"/>
      <w:divBdr>
        <w:top w:val="none" w:sz="0" w:space="0" w:color="auto"/>
        <w:left w:val="none" w:sz="0" w:space="0" w:color="auto"/>
        <w:bottom w:val="none" w:sz="0" w:space="0" w:color="auto"/>
        <w:right w:val="none" w:sz="0" w:space="0" w:color="auto"/>
      </w:divBdr>
    </w:div>
    <w:div w:id="932282263">
      <w:bodyDiv w:val="1"/>
      <w:marLeft w:val="0"/>
      <w:marRight w:val="0"/>
      <w:marTop w:val="0"/>
      <w:marBottom w:val="0"/>
      <w:divBdr>
        <w:top w:val="none" w:sz="0" w:space="0" w:color="auto"/>
        <w:left w:val="none" w:sz="0" w:space="0" w:color="auto"/>
        <w:bottom w:val="none" w:sz="0" w:space="0" w:color="auto"/>
        <w:right w:val="none" w:sz="0" w:space="0" w:color="auto"/>
      </w:divBdr>
    </w:div>
    <w:div w:id="1001465507">
      <w:bodyDiv w:val="1"/>
      <w:marLeft w:val="0"/>
      <w:marRight w:val="0"/>
      <w:marTop w:val="0"/>
      <w:marBottom w:val="0"/>
      <w:divBdr>
        <w:top w:val="none" w:sz="0" w:space="0" w:color="auto"/>
        <w:left w:val="none" w:sz="0" w:space="0" w:color="auto"/>
        <w:bottom w:val="none" w:sz="0" w:space="0" w:color="auto"/>
        <w:right w:val="none" w:sz="0" w:space="0" w:color="auto"/>
      </w:divBdr>
    </w:div>
    <w:div w:id="1115949033">
      <w:bodyDiv w:val="1"/>
      <w:marLeft w:val="0"/>
      <w:marRight w:val="0"/>
      <w:marTop w:val="0"/>
      <w:marBottom w:val="0"/>
      <w:divBdr>
        <w:top w:val="none" w:sz="0" w:space="0" w:color="auto"/>
        <w:left w:val="none" w:sz="0" w:space="0" w:color="auto"/>
        <w:bottom w:val="none" w:sz="0" w:space="0" w:color="auto"/>
        <w:right w:val="none" w:sz="0" w:space="0" w:color="auto"/>
      </w:divBdr>
    </w:div>
    <w:div w:id="1273392239">
      <w:bodyDiv w:val="1"/>
      <w:marLeft w:val="0"/>
      <w:marRight w:val="0"/>
      <w:marTop w:val="0"/>
      <w:marBottom w:val="0"/>
      <w:divBdr>
        <w:top w:val="none" w:sz="0" w:space="0" w:color="auto"/>
        <w:left w:val="none" w:sz="0" w:space="0" w:color="auto"/>
        <w:bottom w:val="none" w:sz="0" w:space="0" w:color="auto"/>
        <w:right w:val="none" w:sz="0" w:space="0" w:color="auto"/>
      </w:divBdr>
    </w:div>
    <w:div w:id="202003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Sja10</b:Tag>
    <b:SourceType>ConferenceProceedings</b:SourceType>
    <b:Guid>{196D7274-DB92-4B79-AB70-E56841BAC570}</b:Guid>
    <b:LCID>2115</b:LCID>
    <b:Author>
      <b:Author>
        <b:Corporate>Sjarel van de Lisdonk et al.</b:Corporate>
      </b:Author>
    </b:Author>
    <b:Title>NEXT GENERATION ON-SHORE LNG PLANT DESIGNS</b:Title>
    <b:Year>2010</b:Year>
    <b:Publisher>LNG 16</b:Publisher>
    <b:RefOrder>1</b:RefOrder>
  </b:Source>
  <b:Source>
    <b:Tag>Che11</b:Tag>
    <b:SourceType>DocumentFromInternetSite</b:SourceType>
    <b:Guid>{6FAFD443-1D33-45D0-BFB6-95179E821CC8}</b:Guid>
    <b:Author>
      <b:Author>
        <b:Corporate>Cheniere Energy Partners, L.P.</b:Corporate>
      </b:Author>
    </b:Author>
    <b:Title>Sabine Pass Liquefaction Project</b:Title>
    <b:Year>2011</b:Year>
    <b:URL>http://www.cheniereenergypartners.com/liquefaction_project/liquefaction_project.shtml</b:URL>
    <b:RefOrder>2</b:RefOrder>
  </b:Source>
  <b:Source>
    <b:Tag>JRC07</b:Tag>
    <b:SourceType>JournalArticle</b:SourceType>
    <b:Guid>{03CFB3AB-0E9D-4BB2-92A2-8A0D0EC47272}</b:Guid>
    <b:Author>
      <b:Author>
        <b:NameList>
          <b:Person>
            <b:Last>JRC</b:Last>
            <b:First>EUCAR,</b:First>
            <b:Middle>CONCAWE</b:Middle>
          </b:Person>
        </b:NameList>
      </b:Author>
    </b:Author>
    <b:Title>Well-to-Wheels analysis of future automotive fuels and power trains in the European context: well-to-wheels report version 2C</b:Title>
    <b:Year>2007</b:Year>
    <b:RefOrder>3</b:RefOrder>
  </b:Source>
  <b:Source>
    <b:Tag>PAC091</b:Tag>
    <b:SourceType>JournalArticle</b:SourceType>
    <b:Guid>{99F5A58D-640A-4EBF-8EE3-9A34816F7B31}</b:Guid>
    <b:Author>
      <b:Author>
        <b:NameList>
          <b:Person>
            <b:Last>PACE</b:Last>
          </b:Person>
        </b:NameList>
      </b:Author>
    </b:Author>
    <b:Title>Life Cycle Assessment of GHG missions from LNG and Coal Fired Generation Scenarios: Assumptions and Results</b:Title>
    <b:Year>2009</b:Year>
    <b:RefOrder>4</b:RefOrder>
  </b:Source>
  <b:Source>
    <b:Tag>NVN98</b:Tag>
    <b:SourceType>JournalArticle</b:SourceType>
    <b:Guid>{4F4077CB-7397-4DA2-B5F6-C033EFF6A184}</b:Guid>
    <b:Author>
      <b:Author>
        <b:NameList>
          <b:Person>
            <b:Last>Gasunie</b:Last>
            <b:First>N.V.</b:First>
            <b:Middle>Nederlandse</b:Middle>
          </b:Person>
        </b:NameList>
      </b:Author>
    </b:Author>
    <b:Title>Physical properties of natural gases</b:Title>
    <b:Year>1998</b:Year>
    <b:RefOrder>5</b:RefOrder>
  </b:Source>
  <b:Source>
    <b:Tag>Lec05</b:Tag>
    <b:SourceType>Report</b:SourceType>
    <b:Guid>{8C57121E-4812-48BF-BF01-F572678D8C86}</b:Guid>
    <b:Author>
      <b:Author>
        <b:NameList>
          <b:Person>
            <b:Last>Lechtenboehmer</b:Last>
            <b:First>S.</b:First>
            <b:Middle>et al.</b:Middle>
          </b:Person>
        </b:NameList>
      </b:Author>
    </b:Author>
    <b:Title>Greenhouse Gas Emissions from the Russian natural gas export pipeline system - Results and extrapolation of measurements and surveys in Russia</b:Title>
    <b:Year>2005</b:Year>
    <b:Publisher>Wuppertal Institute for Climate, Environment and Energy</b:Publisher>
    <b:RefOrder>6</b:RefOrder>
  </b:Source>
  <b:Source>
    <b:Tag>EBr</b:Tag>
    <b:SourceType>ConferenceProceedings</b:SourceType>
    <b:Guid>{FFB8E299-E93D-4BF4-B29E-536858F3A7E1}</b:Guid>
    <b:Author>
      <b:Author>
        <b:Corporate>E. Bras, et al.; Shell Global Solutions International B.V.</b:Corporate>
      </b:Author>
    </b:Author>
    <b:Title>PS4-2, Treating difficult feed gases to LNG plants</b:Title>
    <b:ConferenceName>LNG15</b:ConferenceName>
    <b:RefOrder>7</b:RefOrder>
  </b:Source>
  <b:Source>
    <b:Tag>PAC09</b:Tag>
    <b:SourceType>ConferenceProceedings</b:SourceType>
    <b:Guid>{C33DDEF8-49DB-4D42-B43E-EC4C30EB3432}</b:Guid>
    <b:LCID>2115</b:LCID>
    <b:Author>
      <b:Author>
        <b:NameList>
          <b:Person>
            <b:Last>PACE</b:Last>
          </b:Person>
        </b:NameList>
      </b:Author>
    </b:Author>
    <b:Title>Life Cycle Assessment of GHG Emissions from LNG and Coal Fired Generation Scenarios: Assumptions and Results</b:Title>
    <b:Year>2009</b:Year>
    <b:RefOrder>8</b:RefOrder>
  </b:Source>
  <b:Source>
    <b:Tag>IEA11</b:Tag>
    <b:SourceType>Report</b:SourceType>
    <b:Guid>{7A99E4BC-1D6E-438D-8430-319AB97766A5}</b:Guid>
    <b:LCID>2115</b:LCID>
    <b:Author>
      <b:Author>
        <b:Corporate>IEA- International Energy Agency</b:Corporate>
      </b:Author>
    </b:Author>
    <b:Title>World Energy Outlook 2011 - Are we entering a golden age of gas?</b:Title>
    <b:Year>2011</b:Year>
    <b:RefOrder>9</b:RefOrder>
  </b:Source>
  <b:Source>
    <b:Tag>How11</b:Tag>
    <b:SourceType>JournalArticle</b:SourceType>
    <b:Guid>{C77E642B-0EE1-4BBB-AAD8-EC2D67392779}</b:Guid>
    <b:LCID>2115</b:LCID>
    <b:Author>
      <b:Author>
        <b:NameList>
          <b:Person>
            <b:Last>Howart</b:Last>
            <b:First>R.</b:First>
            <b:Middle>W. et al.</b:Middle>
          </b:Person>
        </b:NameList>
      </b:Author>
    </b:Author>
    <b:Title>GHG emissions from shale greater than conventional gas, coal or oil</b:Title>
    <b:Year>2011</b:Year>
    <b:Publisher>Climate Change</b:Publisher>
    <b:Volume>106</b:Volume>
    <b:RefOrder>10</b:RefOrder>
  </b:Source>
  <b:Source>
    <b:Tag>Bur11</b:Tag>
    <b:SourceType>JournalArticle</b:SourceType>
    <b:Guid>{D95E6AC5-471A-4F92-9D44-050A58353717}</b:Guid>
    <b:LCID>2115</b:LCID>
    <b:Author>
      <b:Author>
        <b:NameList>
          <b:Person>
            <b:Last>Burnham</b:Last>
            <b:First>A</b:First>
            <b:Middle>et al.</b:Middle>
          </b:Person>
        </b:NameList>
      </b:Author>
    </b:Author>
    <b:Title>Life-Cycle Greenhouse Gas Emissions of Shale Gas, Natural Gas, Coal and Petroleum</b:Title>
    <b:Year>2011</b:Year>
    <b:Publisher>Environmental Science &amp; Technology </b:Publisher>
    <b:Volume>46</b:Volume>
    <b:RefOrder>11</b:RefOrder>
  </b:Source>
  <b:Source>
    <b:Tag>Jon08</b:Tag>
    <b:SourceType>ConferenceProceedings</b:SourceType>
    <b:Guid>{F6C99706-FD73-447A-BD21-CEF9B0055A40}</b:Guid>
    <b:Author>
      <b:Author>
        <b:NameList>
          <b:Person>
            <b:Last>Jon Wilson</b:Last>
            <b:First>Gerbert</b:First>
            <b:Middle>van der Wal, Oman LNG L.L.C.</b:Middle>
          </b:Person>
        </b:NameList>
      </b:Author>
    </b:Author>
    <b:Title>Leading the pack for efficiency and environmental performance at a base load LNG plant</b:Title>
    <b:Year>2008</b:Year>
    <b:Publisher>GasTech 2008,Bangkok, Thailand</b:Publisher>
    <b:RefOrder>12</b:RefOrder>
  </b:Source>
  <b:Source>
    <b:Tag>And101</b:Tag>
    <b:SourceType>JournalArticle</b:SourceType>
    <b:Guid>{88802BD1-60F8-4F2E-A5D2-539555DB6F82}</b:Guid>
    <b:Author>
      <b:Author>
        <b:NameList>
          <b:Person>
            <b:Last>Anders Carlson</b:Last>
            <b:First>Nigeria</b:First>
            <b:Middle>LNG</b:Middle>
          </b:Person>
        </b:NameList>
      </b:Author>
    </b:Author>
    <b:Title>Nigeria LNG optimisation during supply contraint</b:Title>
    <b:Year>2010</b:Year>
    <b:Publisher>Oil and Gas Journal</b:Publisher>
    <b:RefOrder>13</b:RefOrder>
  </b:Source>
  <b:Source>
    <b:Tag>VCh03</b:Tag>
    <b:SourceType>ConferenceProceedings</b:SourceType>
    <b:Guid>{21B4CCBF-DA3B-4CFE-91BE-4CFAE8741E8F}</b:Guid>
    <b:Author>
      <b:Author>
        <b:NameList>
          <b:Person>
            <b:Last>V. Chrz</b:Last>
            <b:First>C.</b:First>
            <b:Middle>Emmer</b:Middle>
          </b:Person>
        </b:NameList>
      </b:Author>
    </b:Author>
    <b:Title>Medium size LNG technology progress</b:Title>
    <b:City>Washington</b:City>
    <b:Year>2003</b:Year>
    <b:Publisher>International congress on refrigeration</b:Publisher>
    <b:RefOrder>14</b:RefOrder>
  </b:Source>
  <b:Source>
    <b:Tag>VCh07</b:Tag>
    <b:SourceType>ConferenceProceedings</b:SourceType>
    <b:Guid>{858B986D-41AB-4EAF-ADF6-3843B51926EE}</b:Guid>
    <b:Author>
      <b:Author>
        <b:NameList>
          <b:Person>
            <b:Last>V. Chrz</b:Last>
            <b:First>C.</b:First>
            <b:Middle>Emmer</b:Middle>
          </b:Person>
        </b:NameList>
      </b:Author>
    </b:Author>
    <b:Title>LNG directly to costumer stations</b:Title>
    <b:Year>2007</b:Year>
    <b:City>Barcelona</b:City>
    <b:Publisher>LNG 15</b:Publisher>
    <b:RefOrder>15</b:RefOrder>
  </b:Source>
  <b:Source>
    <b:Tag>API09</b:Tag>
    <b:SourceType>Report</b:SourceType>
    <b:Guid>{DB0B7C77-287C-45CC-B3EC-006F477A8270}</b:Guid>
    <b:Author>
      <b:Author>
        <b:NameList>
          <b:Person>
            <b:Last>API</b:Last>
          </b:Person>
        </b:NameList>
      </b:Author>
    </b:Author>
    <b:Title>Compendium of Greenhouse Gas Emissions Methodologies for the Oil and Natural Gas Industry</b:Title>
    <b:Year>2009</b:Year>
    <b:RefOrder>16</b:RefOrder>
  </b:Source>
</b:Sources>
</file>

<file path=customXml/itemProps1.xml><?xml version="1.0" encoding="utf-8"?>
<ds:datastoreItem xmlns:ds="http://schemas.openxmlformats.org/officeDocument/2006/customXml" ds:itemID="{C3FFD35D-D00A-49F4-B47B-4B845DD6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2394</Words>
  <Characters>13648</Characters>
  <Application>Microsoft Office Word</Application>
  <DocSecurity>0</DocSecurity>
  <Lines>113</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Rebekka Dale</dc:creator>
  <cp:lastModifiedBy>00705220</cp:lastModifiedBy>
  <cp:revision>11</cp:revision>
  <cp:lastPrinted>2013-10-07T14:07:00Z</cp:lastPrinted>
  <dcterms:created xsi:type="dcterms:W3CDTF">2014-01-06T04:35:00Z</dcterms:created>
  <dcterms:modified xsi:type="dcterms:W3CDTF">2014-01-06T06:53:00Z</dcterms:modified>
</cp:coreProperties>
</file>